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9E13" w14:textId="69EE3442" w:rsidR="00AD4613" w:rsidRDefault="00AD4613" w:rsidP="00A145DF">
      <w:pPr>
        <w:rPr>
          <w:b/>
          <w:bCs/>
          <w:sz w:val="32"/>
          <w:szCs w:val="32"/>
          <w:lang w:val="en-US"/>
        </w:rPr>
      </w:pPr>
      <w:r w:rsidRPr="002D561E">
        <w:rPr>
          <w:b/>
          <w:bCs/>
          <w:sz w:val="32"/>
          <w:szCs w:val="32"/>
          <w:lang w:val="en-US"/>
        </w:rPr>
        <w:t>Committee:</w:t>
      </w:r>
      <w:r w:rsidR="008E51BE" w:rsidRPr="002D561E">
        <w:rPr>
          <w:b/>
          <w:bCs/>
          <w:sz w:val="32"/>
          <w:szCs w:val="32"/>
          <w:lang w:val="en-US"/>
        </w:rPr>
        <w:t xml:space="preserve"> F</w:t>
      </w:r>
      <w:r w:rsidR="00643189">
        <w:rPr>
          <w:b/>
          <w:bCs/>
          <w:sz w:val="32"/>
          <w:szCs w:val="32"/>
          <w:lang w:val="en-US"/>
        </w:rPr>
        <w:t xml:space="preserve">inance </w:t>
      </w:r>
      <w:r w:rsidR="008E51BE" w:rsidRPr="002D561E">
        <w:rPr>
          <w:b/>
          <w:bCs/>
          <w:sz w:val="32"/>
          <w:szCs w:val="32"/>
          <w:lang w:val="en-US"/>
        </w:rPr>
        <w:t>&amp;</w:t>
      </w:r>
      <w:r w:rsidR="00643189">
        <w:rPr>
          <w:b/>
          <w:bCs/>
          <w:sz w:val="32"/>
          <w:szCs w:val="32"/>
          <w:lang w:val="en-US"/>
        </w:rPr>
        <w:t xml:space="preserve"> </w:t>
      </w:r>
      <w:r w:rsidR="008E51BE" w:rsidRPr="002D561E">
        <w:rPr>
          <w:b/>
          <w:bCs/>
          <w:sz w:val="32"/>
          <w:szCs w:val="32"/>
          <w:lang w:val="en-US"/>
        </w:rPr>
        <w:t>G</w:t>
      </w:r>
      <w:r w:rsidR="00643189">
        <w:rPr>
          <w:b/>
          <w:bCs/>
          <w:sz w:val="32"/>
          <w:szCs w:val="32"/>
          <w:lang w:val="en-US"/>
        </w:rPr>
        <w:t xml:space="preserve">eneral </w:t>
      </w:r>
      <w:r w:rsidR="008E51BE" w:rsidRPr="002D561E">
        <w:rPr>
          <w:b/>
          <w:bCs/>
          <w:sz w:val="32"/>
          <w:szCs w:val="32"/>
          <w:lang w:val="en-US"/>
        </w:rPr>
        <w:t>P</w:t>
      </w:r>
      <w:r w:rsidR="00643189">
        <w:rPr>
          <w:b/>
          <w:bCs/>
          <w:sz w:val="32"/>
          <w:szCs w:val="32"/>
          <w:lang w:val="en-US"/>
        </w:rPr>
        <w:t>urposes</w:t>
      </w:r>
      <w:r w:rsidR="008E51BE" w:rsidRPr="002D561E">
        <w:rPr>
          <w:b/>
          <w:bCs/>
          <w:sz w:val="32"/>
          <w:szCs w:val="32"/>
          <w:lang w:val="en-US"/>
        </w:rPr>
        <w:t xml:space="preserve"> </w:t>
      </w:r>
    </w:p>
    <w:p w14:paraId="3E91A2A2" w14:textId="024DAE44" w:rsidR="00310D4C" w:rsidRPr="002D561E" w:rsidRDefault="00310D4C" w:rsidP="00A145DF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Teynham Parish Council</w:t>
      </w:r>
    </w:p>
    <w:p w14:paraId="57766FAF" w14:textId="77777777" w:rsidR="007E05AD" w:rsidRDefault="007E05AD" w:rsidP="007E05AD">
      <w:pPr>
        <w:rPr>
          <w:b/>
          <w:bCs/>
          <w:lang w:val="en-US"/>
        </w:rPr>
      </w:pPr>
      <w:r w:rsidRPr="00643189">
        <w:rPr>
          <w:b/>
          <w:bCs/>
          <w:highlight w:val="yellow"/>
          <w:lang w:val="en-US"/>
        </w:rPr>
        <w:t>DRAFT minutes</w:t>
      </w:r>
    </w:p>
    <w:p w14:paraId="128BB9F7" w14:textId="41BF42C7" w:rsidR="008A2379" w:rsidRDefault="659EBA1D" w:rsidP="00A145DF">
      <w:pPr>
        <w:rPr>
          <w:b/>
          <w:bCs/>
          <w:lang w:val="en-US"/>
        </w:rPr>
      </w:pPr>
      <w:r w:rsidRPr="659EBA1D">
        <w:rPr>
          <w:b/>
          <w:bCs/>
          <w:lang w:val="en-US"/>
        </w:rPr>
        <w:t xml:space="preserve">Date: Wednesday 14 June 2023 </w:t>
      </w:r>
    </w:p>
    <w:p w14:paraId="2BBD46DA" w14:textId="1A2186BB" w:rsidR="000010C6" w:rsidRDefault="000010C6" w:rsidP="00A145DF">
      <w:pPr>
        <w:rPr>
          <w:b/>
          <w:bCs/>
          <w:lang w:val="en-US"/>
        </w:rPr>
      </w:pPr>
      <w:r>
        <w:rPr>
          <w:b/>
          <w:bCs/>
          <w:lang w:val="en-US"/>
        </w:rPr>
        <w:t>Location: Teynham Community Hall</w:t>
      </w:r>
    </w:p>
    <w:p w14:paraId="178C48CA" w14:textId="6AB3E602" w:rsidR="00A56C7F" w:rsidRDefault="00A56C7F" w:rsidP="00A145DF">
      <w:pPr>
        <w:rPr>
          <w:b/>
          <w:bCs/>
          <w:lang w:val="en-US"/>
        </w:rPr>
      </w:pPr>
      <w:r>
        <w:rPr>
          <w:b/>
          <w:bCs/>
          <w:lang w:val="en-US"/>
        </w:rPr>
        <w:t>Start time: 19:30 End time: 21:35</w:t>
      </w:r>
    </w:p>
    <w:p w14:paraId="4398D508" w14:textId="19180A9D" w:rsidR="006074FE" w:rsidRDefault="000010C6" w:rsidP="00A145DF">
      <w:pPr>
        <w:rPr>
          <w:b/>
          <w:bCs/>
          <w:lang w:val="en-US"/>
        </w:rPr>
      </w:pPr>
      <w:r>
        <w:rPr>
          <w:b/>
          <w:bCs/>
          <w:lang w:val="en-US"/>
        </w:rPr>
        <w:t>Present at meeting: Clive</w:t>
      </w:r>
      <w:r w:rsidR="00106C4B">
        <w:rPr>
          <w:b/>
          <w:bCs/>
          <w:lang w:val="en-US"/>
        </w:rPr>
        <w:t xml:space="preserve"> Brodigan</w:t>
      </w:r>
      <w:r>
        <w:rPr>
          <w:b/>
          <w:bCs/>
          <w:lang w:val="en-US"/>
        </w:rPr>
        <w:t>, Brian</w:t>
      </w:r>
      <w:r w:rsidR="00106C4B">
        <w:rPr>
          <w:b/>
          <w:bCs/>
          <w:lang w:val="en-US"/>
        </w:rPr>
        <w:t xml:space="preserve"> Sharman and Paul Townson.</w:t>
      </w:r>
    </w:p>
    <w:p w14:paraId="574B4A20" w14:textId="77777777" w:rsidR="008E51BE" w:rsidRDefault="008E51BE" w:rsidP="00A145DF">
      <w:pPr>
        <w:rPr>
          <w:lang w:val="en-US"/>
        </w:rPr>
      </w:pPr>
    </w:p>
    <w:tbl>
      <w:tblPr>
        <w:tblStyle w:val="TableGrid"/>
        <w:tblW w:w="9016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701"/>
        <w:gridCol w:w="6030"/>
        <w:gridCol w:w="1215"/>
        <w:gridCol w:w="1070"/>
      </w:tblGrid>
      <w:tr w:rsidR="008E51BE" w14:paraId="20257397" w14:textId="77777777" w:rsidTr="1A229AAA">
        <w:tc>
          <w:tcPr>
            <w:tcW w:w="701" w:type="dxa"/>
          </w:tcPr>
          <w:p w14:paraId="181892AC" w14:textId="347ECE0A" w:rsidR="008E51BE" w:rsidRPr="00B264CB" w:rsidRDefault="008E51BE" w:rsidP="00A145DF">
            <w:pPr>
              <w:rPr>
                <w:b/>
                <w:bCs/>
                <w:lang w:val="en-US"/>
              </w:rPr>
            </w:pPr>
            <w:r w:rsidRPr="00B264CB">
              <w:rPr>
                <w:b/>
                <w:bCs/>
                <w:lang w:val="en-US"/>
              </w:rPr>
              <w:t>Item</w:t>
            </w:r>
          </w:p>
        </w:tc>
        <w:tc>
          <w:tcPr>
            <w:tcW w:w="6030" w:type="dxa"/>
          </w:tcPr>
          <w:p w14:paraId="01BF88D6" w14:textId="77777777" w:rsidR="008E51BE" w:rsidRPr="00B264CB" w:rsidRDefault="008E51BE" w:rsidP="00A145DF">
            <w:pPr>
              <w:rPr>
                <w:b/>
                <w:bCs/>
                <w:lang w:val="en-US"/>
              </w:rPr>
            </w:pPr>
          </w:p>
        </w:tc>
        <w:tc>
          <w:tcPr>
            <w:tcW w:w="1215" w:type="dxa"/>
          </w:tcPr>
          <w:p w14:paraId="2BF11DA2" w14:textId="2447ED9B" w:rsidR="008E51BE" w:rsidRPr="00B264CB" w:rsidRDefault="008E51BE" w:rsidP="00A145DF">
            <w:pPr>
              <w:rPr>
                <w:b/>
                <w:bCs/>
                <w:lang w:val="en-US"/>
              </w:rPr>
            </w:pPr>
            <w:r w:rsidRPr="00B264CB">
              <w:rPr>
                <w:b/>
                <w:bCs/>
                <w:lang w:val="en-US"/>
              </w:rPr>
              <w:t>Propose</w:t>
            </w:r>
          </w:p>
        </w:tc>
        <w:tc>
          <w:tcPr>
            <w:tcW w:w="1070" w:type="dxa"/>
          </w:tcPr>
          <w:p w14:paraId="5C0AA9EB" w14:textId="1F16597A" w:rsidR="008E51BE" w:rsidRPr="00B264CB" w:rsidRDefault="008E51BE" w:rsidP="00A145DF">
            <w:pPr>
              <w:rPr>
                <w:b/>
                <w:bCs/>
                <w:lang w:val="en-US"/>
              </w:rPr>
            </w:pPr>
            <w:r w:rsidRPr="00B264CB">
              <w:rPr>
                <w:b/>
                <w:bCs/>
                <w:lang w:val="en-US"/>
              </w:rPr>
              <w:t>Second</w:t>
            </w:r>
          </w:p>
        </w:tc>
      </w:tr>
      <w:tr w:rsidR="008E51BE" w14:paraId="4B92E745" w14:textId="77777777" w:rsidTr="1A229AAA">
        <w:tc>
          <w:tcPr>
            <w:tcW w:w="701" w:type="dxa"/>
          </w:tcPr>
          <w:p w14:paraId="57D02BD0" w14:textId="3773633B" w:rsidR="008E51BE" w:rsidRDefault="008E51BE" w:rsidP="00A145D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30" w:type="dxa"/>
          </w:tcPr>
          <w:p w14:paraId="682DC119" w14:textId="4CF74462" w:rsidR="008E51BE" w:rsidRPr="00D91A26" w:rsidRDefault="00AC0D6E" w:rsidP="008E51BE">
            <w:pPr>
              <w:rPr>
                <w:b/>
                <w:bCs/>
                <w:lang w:val="en-US"/>
              </w:rPr>
            </w:pPr>
            <w:r w:rsidRPr="00524D43">
              <w:rPr>
                <w:rStyle w:val="Heading1Char"/>
              </w:rPr>
              <w:t xml:space="preserve">APOLOGIES </w:t>
            </w:r>
            <w:r w:rsidR="00B0577C">
              <w:rPr>
                <w:b/>
                <w:bCs/>
                <w:lang w:val="en-US"/>
              </w:rPr>
              <w:br/>
            </w:r>
            <w:proofErr w:type="spellStart"/>
            <w:r w:rsidR="00310D4C">
              <w:t>Apologies</w:t>
            </w:r>
            <w:proofErr w:type="spellEnd"/>
            <w:r w:rsidR="00310D4C">
              <w:t xml:space="preserve"> </w:t>
            </w:r>
            <w:r w:rsidR="006074FE">
              <w:t xml:space="preserve">received </w:t>
            </w:r>
            <w:r w:rsidR="00310D4C">
              <w:t xml:space="preserve">from </w:t>
            </w:r>
            <w:r w:rsidR="00F76D6B" w:rsidRPr="00524D43">
              <w:t xml:space="preserve">Hayley Steel (Clerk); </w:t>
            </w:r>
            <w:r w:rsidR="008E51BE" w:rsidRPr="00524D43">
              <w:t xml:space="preserve">Max </w:t>
            </w:r>
            <w:r w:rsidR="00F76D6B" w:rsidRPr="00524D43">
              <w:t>Tant</w:t>
            </w:r>
            <w:r w:rsidR="003666D3" w:rsidRPr="00524D43">
              <w:br/>
            </w:r>
            <w:r w:rsidR="00B0577C" w:rsidRPr="00524D43">
              <w:t>Minutes taken by:</w:t>
            </w:r>
            <w:r w:rsidR="00F76D6B" w:rsidRPr="00524D43">
              <w:t xml:space="preserve"> Paul Townson</w:t>
            </w:r>
          </w:p>
        </w:tc>
        <w:tc>
          <w:tcPr>
            <w:tcW w:w="1215" w:type="dxa"/>
          </w:tcPr>
          <w:p w14:paraId="3E55C38F" w14:textId="77777777" w:rsidR="008E51BE" w:rsidRDefault="008E51BE" w:rsidP="00A145DF">
            <w:pPr>
              <w:rPr>
                <w:lang w:val="en-US"/>
              </w:rPr>
            </w:pPr>
          </w:p>
        </w:tc>
        <w:tc>
          <w:tcPr>
            <w:tcW w:w="1070" w:type="dxa"/>
          </w:tcPr>
          <w:p w14:paraId="7B3C18DE" w14:textId="77777777" w:rsidR="008E51BE" w:rsidRDefault="008E51BE" w:rsidP="00A145DF">
            <w:pPr>
              <w:rPr>
                <w:lang w:val="en-US"/>
              </w:rPr>
            </w:pPr>
          </w:p>
        </w:tc>
      </w:tr>
      <w:tr w:rsidR="008E51BE" w14:paraId="0FE1B524" w14:textId="77777777" w:rsidTr="1A229AAA">
        <w:tc>
          <w:tcPr>
            <w:tcW w:w="701" w:type="dxa"/>
          </w:tcPr>
          <w:p w14:paraId="5DBF2E30" w14:textId="60B293F7" w:rsidR="008E51BE" w:rsidRDefault="008E51BE" w:rsidP="00A145D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30" w:type="dxa"/>
          </w:tcPr>
          <w:p w14:paraId="6EF880D1" w14:textId="243961A7" w:rsidR="00AC0D6E" w:rsidRPr="00524D43" w:rsidRDefault="00AC0D6E" w:rsidP="00524D43">
            <w:pPr>
              <w:pStyle w:val="Heading1"/>
              <w:rPr>
                <w:lang w:val="en-US"/>
              </w:rPr>
            </w:pPr>
            <w:r w:rsidRPr="00524D43">
              <w:rPr>
                <w:lang w:val="en-US"/>
              </w:rPr>
              <w:t>DECLARATIONS</w:t>
            </w:r>
          </w:p>
          <w:p w14:paraId="0A5BC567" w14:textId="34E92335" w:rsidR="008E51BE" w:rsidRDefault="00F76D6B" w:rsidP="00A145DF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215" w:type="dxa"/>
          </w:tcPr>
          <w:p w14:paraId="7DB0AB59" w14:textId="77777777" w:rsidR="008E51BE" w:rsidRDefault="008E51BE" w:rsidP="00A145DF">
            <w:pPr>
              <w:rPr>
                <w:lang w:val="en-US"/>
              </w:rPr>
            </w:pPr>
          </w:p>
        </w:tc>
        <w:tc>
          <w:tcPr>
            <w:tcW w:w="1070" w:type="dxa"/>
          </w:tcPr>
          <w:p w14:paraId="7DAA789A" w14:textId="77777777" w:rsidR="008E51BE" w:rsidRDefault="008E51BE" w:rsidP="00A145DF">
            <w:pPr>
              <w:rPr>
                <w:lang w:val="en-US"/>
              </w:rPr>
            </w:pPr>
          </w:p>
        </w:tc>
      </w:tr>
      <w:tr w:rsidR="008E51BE" w14:paraId="6A187053" w14:textId="77777777" w:rsidTr="1A229AAA">
        <w:tc>
          <w:tcPr>
            <w:tcW w:w="701" w:type="dxa"/>
          </w:tcPr>
          <w:p w14:paraId="60EEF008" w14:textId="3DE35A26" w:rsidR="008E51BE" w:rsidRDefault="008E51BE" w:rsidP="00A145D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30" w:type="dxa"/>
          </w:tcPr>
          <w:p w14:paraId="2DC5071C" w14:textId="77777777" w:rsidR="00524D43" w:rsidRDefault="008E51BE" w:rsidP="00524D43">
            <w:pPr>
              <w:pStyle w:val="Heading1"/>
              <w:rPr>
                <w:lang w:val="en-US"/>
              </w:rPr>
            </w:pPr>
            <w:r>
              <w:rPr>
                <w:lang w:val="en-US"/>
              </w:rPr>
              <w:t>Public Session</w:t>
            </w:r>
          </w:p>
          <w:p w14:paraId="497B4776" w14:textId="60D02FC2" w:rsidR="008E51BE" w:rsidRDefault="00F76D6B" w:rsidP="00A145DF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215" w:type="dxa"/>
          </w:tcPr>
          <w:p w14:paraId="19714A91" w14:textId="77777777" w:rsidR="008E51BE" w:rsidRDefault="008E51BE" w:rsidP="00A145DF">
            <w:pPr>
              <w:rPr>
                <w:lang w:val="en-US"/>
              </w:rPr>
            </w:pPr>
          </w:p>
        </w:tc>
        <w:tc>
          <w:tcPr>
            <w:tcW w:w="1070" w:type="dxa"/>
          </w:tcPr>
          <w:p w14:paraId="2A466835" w14:textId="77777777" w:rsidR="008E51BE" w:rsidRDefault="008E51BE" w:rsidP="00A145DF">
            <w:pPr>
              <w:rPr>
                <w:lang w:val="en-US"/>
              </w:rPr>
            </w:pPr>
          </w:p>
        </w:tc>
      </w:tr>
      <w:tr w:rsidR="008E51BE" w14:paraId="7B187DB5" w14:textId="77777777" w:rsidTr="1A229AAA">
        <w:tc>
          <w:tcPr>
            <w:tcW w:w="701" w:type="dxa"/>
          </w:tcPr>
          <w:p w14:paraId="469A0D66" w14:textId="56064177" w:rsidR="008E51BE" w:rsidRDefault="008E51BE" w:rsidP="00A145D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030" w:type="dxa"/>
          </w:tcPr>
          <w:p w14:paraId="1C980252" w14:textId="77777777" w:rsidR="008E51BE" w:rsidRPr="0087664B" w:rsidRDefault="008E51BE" w:rsidP="00524D43">
            <w:pPr>
              <w:pStyle w:val="Heading1"/>
              <w:rPr>
                <w:lang w:val="en-US"/>
              </w:rPr>
            </w:pPr>
            <w:r w:rsidRPr="0087664B">
              <w:rPr>
                <w:lang w:val="en-US"/>
              </w:rPr>
              <w:t>Minutes</w:t>
            </w:r>
          </w:p>
          <w:p w14:paraId="1F00D574" w14:textId="2B403C28" w:rsidR="00F76D6B" w:rsidRDefault="00F76D6B" w:rsidP="00A145DF">
            <w:pPr>
              <w:rPr>
                <w:lang w:val="en-US"/>
              </w:rPr>
            </w:pPr>
            <w:r>
              <w:rPr>
                <w:lang w:val="en-US"/>
              </w:rPr>
              <w:t>The minutes were read and approved.</w:t>
            </w:r>
          </w:p>
        </w:tc>
        <w:tc>
          <w:tcPr>
            <w:tcW w:w="1215" w:type="dxa"/>
          </w:tcPr>
          <w:p w14:paraId="7E097CFB" w14:textId="340DAD04" w:rsidR="008E51BE" w:rsidRDefault="00F76D6B" w:rsidP="00A145DF">
            <w:pPr>
              <w:rPr>
                <w:lang w:val="en-US"/>
              </w:rPr>
            </w:pPr>
            <w:r>
              <w:rPr>
                <w:lang w:val="en-US"/>
              </w:rPr>
              <w:t>Clive</w:t>
            </w:r>
          </w:p>
        </w:tc>
        <w:tc>
          <w:tcPr>
            <w:tcW w:w="1070" w:type="dxa"/>
          </w:tcPr>
          <w:p w14:paraId="4D0CB214" w14:textId="39F1D981" w:rsidR="008E51BE" w:rsidRDefault="00F76D6B" w:rsidP="00A145DF">
            <w:pPr>
              <w:rPr>
                <w:lang w:val="en-US"/>
              </w:rPr>
            </w:pPr>
            <w:r>
              <w:rPr>
                <w:lang w:val="en-US"/>
              </w:rPr>
              <w:t>Brian</w:t>
            </w:r>
          </w:p>
        </w:tc>
      </w:tr>
      <w:tr w:rsidR="00F76D6B" w14:paraId="62CB6208" w14:textId="77777777" w:rsidTr="1A229AAA">
        <w:tc>
          <w:tcPr>
            <w:tcW w:w="701" w:type="dxa"/>
          </w:tcPr>
          <w:p w14:paraId="759B7DCA" w14:textId="490A4E04" w:rsidR="00F76D6B" w:rsidRDefault="00F76D6B" w:rsidP="00F76D6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030" w:type="dxa"/>
          </w:tcPr>
          <w:p w14:paraId="2C945892" w14:textId="0DC38B55" w:rsidR="00F76D6B" w:rsidRDefault="00F76D6B" w:rsidP="00524D43">
            <w:pPr>
              <w:pStyle w:val="Heading1"/>
              <w:rPr>
                <w:lang w:val="en-US"/>
              </w:rPr>
            </w:pPr>
            <w:r w:rsidRPr="008E51BE">
              <w:rPr>
                <w:lang w:val="en-US"/>
              </w:rPr>
              <w:t>Matters arising</w:t>
            </w:r>
            <w:r>
              <w:rPr>
                <w:lang w:val="en-US"/>
              </w:rPr>
              <w:t xml:space="preserve"> </w:t>
            </w:r>
          </w:p>
          <w:p w14:paraId="1BCE9FD8" w14:textId="170DE14E" w:rsidR="00F76D6B" w:rsidRPr="00935CAF" w:rsidRDefault="00935CAF" w:rsidP="00F76D6B">
            <w:pPr>
              <w:rPr>
                <w:lang w:val="en-US"/>
              </w:rPr>
            </w:pPr>
            <w:r w:rsidRPr="00935CAF">
              <w:rPr>
                <w:lang w:val="en-US"/>
              </w:rPr>
              <w:t xml:space="preserve">It was noted from the </w:t>
            </w:r>
            <w:r w:rsidR="00DB4839">
              <w:rPr>
                <w:lang w:val="en-US"/>
              </w:rPr>
              <w:t>published budget for 2023/24</w:t>
            </w:r>
            <w:r w:rsidRPr="00935CAF">
              <w:rPr>
                <w:lang w:val="en-US"/>
              </w:rPr>
              <w:t>, that:</w:t>
            </w:r>
          </w:p>
          <w:p w14:paraId="7260242F" w14:textId="2BDE4D43" w:rsidR="00F76D6B" w:rsidRDefault="007B48BF" w:rsidP="00F76D6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7B48BF">
              <w:rPr>
                <w:b/>
                <w:bCs/>
                <w:lang w:val="en-US"/>
              </w:rPr>
              <w:t>COMMUNITY HALL:</w:t>
            </w:r>
            <w:r>
              <w:rPr>
                <w:lang w:val="en-US"/>
              </w:rPr>
              <w:t xml:space="preserve"> </w:t>
            </w:r>
            <w:r w:rsidR="00F76D6B" w:rsidRPr="00A145DF">
              <w:rPr>
                <w:lang w:val="en-US"/>
              </w:rPr>
              <w:t>should r</w:t>
            </w:r>
            <w:r w:rsidR="00F76D6B">
              <w:rPr>
                <w:lang w:val="en-US"/>
              </w:rPr>
              <w:t>e</w:t>
            </w:r>
            <w:r w:rsidR="00F76D6B" w:rsidRPr="00A145DF">
              <w:rPr>
                <w:lang w:val="en-US"/>
              </w:rPr>
              <w:t>ad £4418 not £4168</w:t>
            </w:r>
            <w:r w:rsidR="00F76D6B">
              <w:rPr>
                <w:lang w:val="en-US"/>
              </w:rPr>
              <w:t>.</w:t>
            </w:r>
            <w:r w:rsidR="00F76D6B">
              <w:rPr>
                <w:lang w:val="en-US"/>
              </w:rPr>
              <w:br/>
            </w:r>
            <w:r w:rsidR="00935CAF" w:rsidRPr="008F2F51">
              <w:rPr>
                <w:b/>
                <w:bCs/>
                <w:highlight w:val="yellow"/>
                <w:lang w:val="en-US"/>
              </w:rPr>
              <w:t>Action:</w:t>
            </w:r>
            <w:r w:rsidR="00935CAF">
              <w:rPr>
                <w:lang w:val="en-US"/>
              </w:rPr>
              <w:t xml:space="preserve"> </w:t>
            </w:r>
            <w:r w:rsidR="00F76D6B">
              <w:rPr>
                <w:lang w:val="en-US"/>
              </w:rPr>
              <w:t>Paul to check the formula on the spreadsheet.</w:t>
            </w:r>
          </w:p>
          <w:p w14:paraId="6D592605" w14:textId="7FE5CF29" w:rsidR="00F76D6B" w:rsidRDefault="00CB2A70" w:rsidP="00F76D6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CB2A70">
              <w:rPr>
                <w:b/>
                <w:bCs/>
                <w:lang w:val="en-US"/>
              </w:rPr>
              <w:t>STREET LIGHTING:</w:t>
            </w:r>
            <w:r>
              <w:rPr>
                <w:lang w:val="en-US"/>
              </w:rPr>
              <w:t xml:space="preserve"> U</w:t>
            </w:r>
            <w:r w:rsidR="004C7384">
              <w:rPr>
                <w:lang w:val="en-US"/>
              </w:rPr>
              <w:t xml:space="preserve">pdate description for </w:t>
            </w:r>
            <w:r w:rsidR="00F76D6B">
              <w:rPr>
                <w:lang w:val="en-US"/>
              </w:rPr>
              <w:t xml:space="preserve">‘Village Hall’ </w:t>
            </w:r>
            <w:r w:rsidR="00523869" w:rsidRPr="002E0DB9">
              <w:rPr>
                <w:highlight w:val="yellow"/>
                <w:lang w:val="en-US"/>
              </w:rPr>
              <w:t>(**Discuss with Hayley**)</w:t>
            </w:r>
            <w:r w:rsidR="00523869">
              <w:rPr>
                <w:lang w:val="en-US"/>
              </w:rPr>
              <w:t xml:space="preserve"> </w:t>
            </w:r>
            <w:r w:rsidR="004C7384">
              <w:rPr>
                <w:lang w:val="en-US"/>
              </w:rPr>
              <w:t xml:space="preserve">to </w:t>
            </w:r>
            <w:r w:rsidR="00523869">
              <w:rPr>
                <w:lang w:val="en-US"/>
              </w:rPr>
              <w:t xml:space="preserve">grant for VHMC </w:t>
            </w:r>
            <w:r w:rsidR="00DB4839">
              <w:rPr>
                <w:lang w:val="en-US"/>
              </w:rPr>
              <w:t xml:space="preserve">/refers </w:t>
            </w:r>
            <w:r w:rsidR="00F76D6B">
              <w:rPr>
                <w:lang w:val="en-US"/>
              </w:rPr>
              <w:t>to a streetlight in the Village Hall Car Park.</w:t>
            </w:r>
          </w:p>
          <w:p w14:paraId="03B0C1F8" w14:textId="2A4D37B5" w:rsidR="00F76D6B" w:rsidRDefault="00410A76" w:rsidP="00F76D6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418D6">
              <w:rPr>
                <w:b/>
                <w:bCs/>
                <w:lang w:val="en-US"/>
              </w:rPr>
              <w:t>COMMUNITY HALL:</w:t>
            </w:r>
            <w:r>
              <w:rPr>
                <w:lang w:val="en-US"/>
              </w:rPr>
              <w:t xml:space="preserve"> </w:t>
            </w:r>
            <w:r w:rsidR="00F76D6B">
              <w:rPr>
                <w:lang w:val="en-US"/>
              </w:rPr>
              <w:t xml:space="preserve">No precept </w:t>
            </w:r>
            <w:r>
              <w:rPr>
                <w:lang w:val="en-US"/>
              </w:rPr>
              <w:t>was</w:t>
            </w:r>
            <w:r w:rsidR="00F76D6B">
              <w:rPr>
                <w:lang w:val="en-US"/>
              </w:rPr>
              <w:t xml:space="preserve"> requested for the operational costs for the Community Hall</w:t>
            </w:r>
            <w:r>
              <w:rPr>
                <w:lang w:val="en-US"/>
              </w:rPr>
              <w:t>, as it sho</w:t>
            </w:r>
            <w:r w:rsidR="00A05661">
              <w:rPr>
                <w:lang w:val="en-US"/>
              </w:rPr>
              <w:t>uld be self-funding</w:t>
            </w:r>
            <w:r w:rsidR="00F76D6B" w:rsidRPr="00A145DF">
              <w:rPr>
                <w:lang w:val="en-US"/>
              </w:rPr>
              <w:t>.</w:t>
            </w:r>
            <w:r w:rsidR="00F76D6B">
              <w:rPr>
                <w:lang w:val="en-US"/>
              </w:rPr>
              <w:t xml:space="preserve"> </w:t>
            </w:r>
            <w:r w:rsidR="00B418D6">
              <w:rPr>
                <w:lang w:val="en-US"/>
              </w:rPr>
              <w:t>The p</w:t>
            </w:r>
            <w:r w:rsidR="00F76D6B">
              <w:rPr>
                <w:lang w:val="en-US"/>
              </w:rPr>
              <w:t xml:space="preserve">recept </w:t>
            </w:r>
            <w:r w:rsidR="00B418D6">
              <w:rPr>
                <w:lang w:val="en-US"/>
              </w:rPr>
              <w:t xml:space="preserve">was </w:t>
            </w:r>
            <w:r w:rsidR="00F76D6B">
              <w:rPr>
                <w:lang w:val="en-US"/>
              </w:rPr>
              <w:t>used to cover Public Works Loan (</w:t>
            </w:r>
            <w:r w:rsidR="00A05661">
              <w:rPr>
                <w:lang w:val="en-US"/>
              </w:rPr>
              <w:t xml:space="preserve">mortgage) </w:t>
            </w:r>
            <w:r w:rsidR="00F76D6B">
              <w:rPr>
                <w:lang w:val="en-US"/>
              </w:rPr>
              <w:t xml:space="preserve">to cover </w:t>
            </w:r>
            <w:r w:rsidR="00A05661">
              <w:rPr>
                <w:lang w:val="en-US"/>
              </w:rPr>
              <w:t>the c</w:t>
            </w:r>
            <w:r w:rsidR="00F76D6B">
              <w:rPr>
                <w:lang w:val="en-US"/>
              </w:rPr>
              <w:t xml:space="preserve">ost of </w:t>
            </w:r>
            <w:r w:rsidR="00A05661">
              <w:rPr>
                <w:lang w:val="en-US"/>
              </w:rPr>
              <w:t xml:space="preserve">the </w:t>
            </w:r>
            <w:r w:rsidR="00F76D6B">
              <w:rPr>
                <w:lang w:val="en-US"/>
              </w:rPr>
              <w:t>purchase</w:t>
            </w:r>
            <w:r w:rsidR="00A05661">
              <w:rPr>
                <w:lang w:val="en-US"/>
              </w:rPr>
              <w:t xml:space="preserve"> of the building</w:t>
            </w:r>
            <w:r w:rsidR="00F76D6B">
              <w:rPr>
                <w:lang w:val="en-US"/>
              </w:rPr>
              <w:t>.</w:t>
            </w:r>
          </w:p>
          <w:p w14:paraId="70FEA3B0" w14:textId="402C3E35" w:rsidR="00935CAF" w:rsidRDefault="00935CAF" w:rsidP="00F76D6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Description on ‘budget’</w:t>
            </w:r>
          </w:p>
          <w:p w14:paraId="77C79653" w14:textId="11C348B2" w:rsidR="00F76D6B" w:rsidRDefault="00754225" w:rsidP="00F76D6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EA6767">
              <w:rPr>
                <w:b/>
                <w:bCs/>
                <w:lang w:val="en-US"/>
              </w:rPr>
              <w:t>MEADOW:</w:t>
            </w:r>
            <w:r>
              <w:rPr>
                <w:lang w:val="en-US"/>
              </w:rPr>
              <w:t xml:space="preserve"> </w:t>
            </w:r>
            <w:r w:rsidR="000E59EA">
              <w:rPr>
                <w:lang w:val="en-US"/>
              </w:rPr>
              <w:t xml:space="preserve">It was noted that the </w:t>
            </w:r>
            <w:r w:rsidR="0027356C">
              <w:rPr>
                <w:lang w:val="en-US"/>
              </w:rPr>
              <w:t>precept</w:t>
            </w:r>
            <w:r w:rsidR="00EA6767">
              <w:rPr>
                <w:lang w:val="en-US"/>
              </w:rPr>
              <w:t xml:space="preserve"> for the </w:t>
            </w:r>
            <w:r w:rsidR="0027356C">
              <w:rPr>
                <w:lang w:val="en-US"/>
              </w:rPr>
              <w:t>M</w:t>
            </w:r>
            <w:r w:rsidR="00EA6767">
              <w:rPr>
                <w:lang w:val="en-US"/>
              </w:rPr>
              <w:t>eadow was tight</w:t>
            </w:r>
            <w:r w:rsidR="00742EBD">
              <w:rPr>
                <w:lang w:val="en-US"/>
              </w:rPr>
              <w:t>. Precept for 2024/25 should be increased.</w:t>
            </w:r>
          </w:p>
          <w:p w14:paraId="75B42567" w14:textId="18103A90" w:rsidR="00EC060E" w:rsidRDefault="00EC060E" w:rsidP="00F76D6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VILLAGE HALL:</w:t>
            </w:r>
            <w:r>
              <w:rPr>
                <w:lang w:val="en-US"/>
              </w:rPr>
              <w:t xml:space="preserve"> </w:t>
            </w:r>
            <w:r w:rsidR="00777C11">
              <w:rPr>
                <w:lang w:val="en-US"/>
              </w:rPr>
              <w:t xml:space="preserve">It was noted that the Village Hall </w:t>
            </w:r>
            <w:r w:rsidR="007D6221">
              <w:rPr>
                <w:lang w:val="en-US"/>
              </w:rPr>
              <w:t xml:space="preserve">lease </w:t>
            </w:r>
            <w:r w:rsidR="00777C11">
              <w:rPr>
                <w:lang w:val="en-US"/>
              </w:rPr>
              <w:t>ha</w:t>
            </w:r>
            <w:r w:rsidR="0076420C">
              <w:rPr>
                <w:lang w:val="en-US"/>
              </w:rPr>
              <w:t xml:space="preserve">d a </w:t>
            </w:r>
            <w:r w:rsidR="00180196" w:rsidRPr="00180196">
              <w:rPr>
                <w:highlight w:val="yellow"/>
                <w:lang w:val="en-US"/>
              </w:rPr>
              <w:t>(ground rent?)</w:t>
            </w:r>
            <w:r w:rsidR="00180196">
              <w:rPr>
                <w:lang w:val="en-US"/>
              </w:rPr>
              <w:t xml:space="preserve"> of £5 for the first 30 </w:t>
            </w:r>
            <w:r w:rsidR="00180196">
              <w:rPr>
                <w:lang w:val="en-US"/>
              </w:rPr>
              <w:lastRenderedPageBreak/>
              <w:t>years.</w:t>
            </w:r>
            <w:r w:rsidR="00E249BA">
              <w:rPr>
                <w:lang w:val="en-US"/>
              </w:rPr>
              <w:t xml:space="preserve"> Although a nominal amount, this should be </w:t>
            </w:r>
            <w:r w:rsidR="0027356C">
              <w:rPr>
                <w:lang w:val="en-US"/>
              </w:rPr>
              <w:t>claimed</w:t>
            </w:r>
            <w:r w:rsidR="000D70F1">
              <w:rPr>
                <w:lang w:val="en-US"/>
              </w:rPr>
              <w:t xml:space="preserve"> and noted as a source of income</w:t>
            </w:r>
            <w:r w:rsidR="00CF0986">
              <w:rPr>
                <w:lang w:val="en-US"/>
              </w:rPr>
              <w:t>.</w:t>
            </w:r>
          </w:p>
          <w:p w14:paraId="29DDE5BA" w14:textId="1400467A" w:rsidR="0057434F" w:rsidRDefault="0057434F" w:rsidP="00F76D6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GENERAL ACCOUNT </w:t>
            </w:r>
            <w:r w:rsidR="00CC283C">
              <w:rPr>
                <w:b/>
                <w:bCs/>
                <w:lang w:val="en-US"/>
              </w:rPr>
              <w:br/>
            </w:r>
            <w:r w:rsidR="00BA0C83" w:rsidRPr="00CC283C">
              <w:rPr>
                <w:b/>
                <w:bCs/>
                <w:highlight w:val="yellow"/>
                <w:lang w:val="en-US"/>
              </w:rPr>
              <w:t>Action:</w:t>
            </w:r>
            <w:r w:rsidR="00BA0C83" w:rsidRPr="00CC283C">
              <w:rPr>
                <w:lang w:val="en-US"/>
              </w:rPr>
              <w:t xml:space="preserve"> Verify if we receive invoice for </w:t>
            </w:r>
            <w:r w:rsidR="00CC283C" w:rsidRPr="00CC283C">
              <w:rPr>
                <w:lang w:val="en-US"/>
              </w:rPr>
              <w:t>TPCC Graveyard contribution.</w:t>
            </w:r>
            <w:r w:rsidR="00F52AD8">
              <w:rPr>
                <w:lang w:val="en-US"/>
              </w:rPr>
              <w:t xml:space="preserve"> It was proposed that in future years, this figure should be increased by 5%-10% each year.</w:t>
            </w:r>
            <w:r w:rsidR="009F1389">
              <w:rPr>
                <w:lang w:val="en-US"/>
              </w:rPr>
              <w:br/>
            </w:r>
            <w:r w:rsidR="009F1389" w:rsidRPr="00DF7B9D">
              <w:rPr>
                <w:b/>
                <w:bCs/>
                <w:highlight w:val="yellow"/>
                <w:lang w:val="en-US"/>
              </w:rPr>
              <w:t>Action:</w:t>
            </w:r>
            <w:r w:rsidR="009F1389">
              <w:rPr>
                <w:lang w:val="en-US"/>
              </w:rPr>
              <w:t xml:space="preserve"> </w:t>
            </w:r>
            <w:r w:rsidR="00DF7B9D">
              <w:rPr>
                <w:lang w:val="en-US"/>
              </w:rPr>
              <w:t>Description</w:t>
            </w:r>
            <w:r w:rsidR="009F1389">
              <w:rPr>
                <w:lang w:val="en-US"/>
              </w:rPr>
              <w:t xml:space="preserve"> for Lychgate should be changed to ‘war </w:t>
            </w:r>
            <w:r w:rsidR="00DF7B9D">
              <w:rPr>
                <w:lang w:val="en-US"/>
              </w:rPr>
              <w:t>memorial’.</w:t>
            </w:r>
          </w:p>
          <w:p w14:paraId="1A48A9D8" w14:textId="5A59A020" w:rsidR="003622AA" w:rsidRPr="0057434F" w:rsidRDefault="003622AA" w:rsidP="00F76D6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PRECEPT</w:t>
            </w:r>
            <w:r w:rsidR="002D4845">
              <w:rPr>
                <w:b/>
                <w:bCs/>
                <w:lang w:val="en-US"/>
              </w:rPr>
              <w:t xml:space="preserve"> </w:t>
            </w:r>
            <w:r w:rsidR="00C670EF" w:rsidRPr="00C670EF">
              <w:rPr>
                <w:lang w:val="en-US"/>
              </w:rPr>
              <w:t>T</w:t>
            </w:r>
            <w:r w:rsidR="002D4845" w:rsidRPr="00C670EF">
              <w:rPr>
                <w:lang w:val="en-US"/>
              </w:rPr>
              <w:t>ypo: Allotments</w:t>
            </w:r>
            <w:r w:rsidR="00960EAA" w:rsidRPr="00C670EF">
              <w:rPr>
                <w:lang w:val="en-US"/>
              </w:rPr>
              <w:t xml:space="preserve">; </w:t>
            </w:r>
            <w:r w:rsidR="00C670EF" w:rsidRPr="00C670EF">
              <w:rPr>
                <w:lang w:val="en-US"/>
              </w:rPr>
              <w:t>A</w:t>
            </w:r>
            <w:r w:rsidR="00960EAA" w:rsidRPr="00C670EF">
              <w:rPr>
                <w:lang w:val="en-US"/>
              </w:rPr>
              <w:t>dd description to PWL Loan (mortgage for Community Hall)</w:t>
            </w:r>
          </w:p>
          <w:p w14:paraId="6935A418" w14:textId="6D3AF708" w:rsidR="00935CAF" w:rsidRPr="004F451E" w:rsidRDefault="0027356C" w:rsidP="004F451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AUDITORS:</w:t>
            </w:r>
            <w:r>
              <w:rPr>
                <w:lang w:val="en-US"/>
              </w:rPr>
              <w:t xml:space="preserve"> </w:t>
            </w:r>
            <w:r w:rsidR="002E0DB9">
              <w:rPr>
                <w:lang w:val="en-US"/>
              </w:rPr>
              <w:t xml:space="preserve">Good practice </w:t>
            </w:r>
            <w:r w:rsidR="00F44795">
              <w:rPr>
                <w:lang w:val="en-US"/>
              </w:rPr>
              <w:t>suggests that internal auditors should be changed every 3</w:t>
            </w:r>
            <w:r w:rsidR="00F41AC0">
              <w:rPr>
                <w:lang w:val="en-US"/>
              </w:rPr>
              <w:t xml:space="preserve"> to </w:t>
            </w:r>
            <w:r w:rsidR="00F44795">
              <w:rPr>
                <w:lang w:val="en-US"/>
              </w:rPr>
              <w:t xml:space="preserve">5 years.  </w:t>
            </w:r>
            <w:r w:rsidR="00F41AC0">
              <w:rPr>
                <w:lang w:val="en-US"/>
              </w:rPr>
              <w:br/>
            </w:r>
            <w:r w:rsidR="00F41AC0" w:rsidRPr="008F2F51">
              <w:rPr>
                <w:b/>
                <w:bCs/>
                <w:highlight w:val="yellow"/>
                <w:lang w:val="en-US"/>
              </w:rPr>
              <w:t>Action:</w:t>
            </w:r>
            <w:r w:rsidR="00F41AC0">
              <w:rPr>
                <w:lang w:val="en-US"/>
              </w:rPr>
              <w:t xml:space="preserve"> Hayley: </w:t>
            </w:r>
            <w:r w:rsidR="008F2F51">
              <w:rPr>
                <w:lang w:val="en-US"/>
              </w:rPr>
              <w:t>to advise</w:t>
            </w:r>
            <w:r w:rsidR="00F41AC0">
              <w:rPr>
                <w:lang w:val="en-US"/>
              </w:rPr>
              <w:t xml:space="preserve"> how long current Auditor has been working for us. Set up brief meeting</w:t>
            </w:r>
            <w:r w:rsidR="008F2F51">
              <w:rPr>
                <w:lang w:val="en-US"/>
              </w:rPr>
              <w:t xml:space="preserve">, with new Chair and </w:t>
            </w:r>
            <w:r w:rsidR="0012444D">
              <w:rPr>
                <w:lang w:val="en-US"/>
              </w:rPr>
              <w:t>Auditor. Did we receive a copy of the Auditor’s report for 20</w:t>
            </w:r>
            <w:r w:rsidR="006E45BA">
              <w:rPr>
                <w:lang w:val="en-US"/>
              </w:rPr>
              <w:t>22/3</w:t>
            </w:r>
            <w:r w:rsidR="0012444D">
              <w:rPr>
                <w:lang w:val="en-US"/>
              </w:rPr>
              <w:t>?</w:t>
            </w:r>
          </w:p>
        </w:tc>
        <w:tc>
          <w:tcPr>
            <w:tcW w:w="1215" w:type="dxa"/>
          </w:tcPr>
          <w:p w14:paraId="49E51458" w14:textId="3408939B" w:rsidR="00F76D6B" w:rsidRDefault="00F76D6B" w:rsidP="00F76D6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Clive</w:t>
            </w:r>
          </w:p>
        </w:tc>
        <w:tc>
          <w:tcPr>
            <w:tcW w:w="1070" w:type="dxa"/>
          </w:tcPr>
          <w:p w14:paraId="744A55D2" w14:textId="48137A40" w:rsidR="00F76D6B" w:rsidRDefault="00F76D6B" w:rsidP="00F76D6B">
            <w:pPr>
              <w:rPr>
                <w:lang w:val="en-US"/>
              </w:rPr>
            </w:pPr>
            <w:r>
              <w:rPr>
                <w:lang w:val="en-US"/>
              </w:rPr>
              <w:t>Brian</w:t>
            </w:r>
          </w:p>
        </w:tc>
      </w:tr>
      <w:tr w:rsidR="004F451E" w14:paraId="6738917F" w14:textId="77777777" w:rsidTr="1A229AAA">
        <w:tc>
          <w:tcPr>
            <w:tcW w:w="701" w:type="dxa"/>
          </w:tcPr>
          <w:p w14:paraId="3598DABC" w14:textId="77777777" w:rsidR="004F451E" w:rsidRDefault="004F451E" w:rsidP="004F451E">
            <w:pPr>
              <w:rPr>
                <w:lang w:val="en-US"/>
              </w:rPr>
            </w:pPr>
          </w:p>
        </w:tc>
        <w:tc>
          <w:tcPr>
            <w:tcW w:w="6030" w:type="dxa"/>
          </w:tcPr>
          <w:p w14:paraId="5ED489BE" w14:textId="77777777" w:rsidR="004F451E" w:rsidRPr="00935CAF" w:rsidRDefault="004F451E" w:rsidP="004F451E">
            <w:pPr>
              <w:pStyle w:val="Heading1"/>
              <w:rPr>
                <w:lang w:val="en-US"/>
              </w:rPr>
            </w:pPr>
            <w:r w:rsidRPr="00935CAF">
              <w:rPr>
                <w:lang w:val="en-US"/>
              </w:rPr>
              <w:t>Election of Chairman</w:t>
            </w:r>
          </w:p>
          <w:p w14:paraId="1AB51B50" w14:textId="77777777" w:rsidR="004F451E" w:rsidRDefault="004F451E" w:rsidP="004F451E">
            <w:pPr>
              <w:rPr>
                <w:lang w:val="en-US"/>
              </w:rPr>
            </w:pPr>
            <w:r>
              <w:rPr>
                <w:lang w:val="en-US"/>
              </w:rPr>
              <w:t xml:space="preserve">Clive proposed that Paul Townson be chairman of the F&amp;GP Committee. Seconded by Brian. </w:t>
            </w:r>
          </w:p>
          <w:p w14:paraId="30E58502" w14:textId="77777777" w:rsidR="004F451E" w:rsidRDefault="004F451E" w:rsidP="004F451E">
            <w:pPr>
              <w:rPr>
                <w:lang w:val="en-US"/>
              </w:rPr>
            </w:pPr>
          </w:p>
          <w:p w14:paraId="440C2853" w14:textId="702C795C" w:rsidR="004F451E" w:rsidRPr="00F76D6B" w:rsidRDefault="004F451E" w:rsidP="004F451E">
            <w:pPr>
              <w:rPr>
                <w:lang w:val="en-US"/>
              </w:rPr>
            </w:pPr>
            <w:r>
              <w:rPr>
                <w:lang w:val="en-US"/>
              </w:rPr>
              <w:t>Paul Townson was elected chairman of F&amp;GP Committee. Paul thanked Clive and Brian for their support.</w:t>
            </w:r>
          </w:p>
        </w:tc>
        <w:tc>
          <w:tcPr>
            <w:tcW w:w="1215" w:type="dxa"/>
          </w:tcPr>
          <w:p w14:paraId="2173E3AD" w14:textId="17E63EF0" w:rsidR="004F451E" w:rsidRDefault="004F451E" w:rsidP="004F451E">
            <w:pPr>
              <w:rPr>
                <w:lang w:val="en-US"/>
              </w:rPr>
            </w:pPr>
            <w:r>
              <w:rPr>
                <w:lang w:val="en-US"/>
              </w:rPr>
              <w:t>Clive</w:t>
            </w:r>
          </w:p>
        </w:tc>
        <w:tc>
          <w:tcPr>
            <w:tcW w:w="1070" w:type="dxa"/>
          </w:tcPr>
          <w:p w14:paraId="75F2306C" w14:textId="77093575" w:rsidR="004F451E" w:rsidRDefault="004F451E" w:rsidP="004F451E">
            <w:pPr>
              <w:rPr>
                <w:lang w:val="en-US"/>
              </w:rPr>
            </w:pPr>
            <w:r>
              <w:rPr>
                <w:lang w:val="en-US"/>
              </w:rPr>
              <w:t>Brian</w:t>
            </w:r>
          </w:p>
        </w:tc>
      </w:tr>
      <w:tr w:rsidR="00F76D6B" w14:paraId="3A8D001E" w14:textId="77777777" w:rsidTr="1A229AAA">
        <w:tc>
          <w:tcPr>
            <w:tcW w:w="701" w:type="dxa"/>
          </w:tcPr>
          <w:p w14:paraId="33C976A1" w14:textId="7BE09B22" w:rsidR="00F76D6B" w:rsidRDefault="006E45BA" w:rsidP="00A145D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30" w:type="dxa"/>
          </w:tcPr>
          <w:p w14:paraId="27D06AD3" w14:textId="77777777" w:rsidR="00F76D6B" w:rsidRPr="00F76D6B" w:rsidRDefault="00F76D6B" w:rsidP="00524D43">
            <w:pPr>
              <w:pStyle w:val="Heading1"/>
              <w:rPr>
                <w:lang w:val="en-US"/>
              </w:rPr>
            </w:pPr>
            <w:r w:rsidRPr="00F76D6B">
              <w:rPr>
                <w:lang w:val="en-US"/>
              </w:rPr>
              <w:t>Funding for Planning Consultant</w:t>
            </w:r>
          </w:p>
          <w:p w14:paraId="11338284" w14:textId="06CDDC14" w:rsidR="00F76D6B" w:rsidRDefault="00F76D6B" w:rsidP="00A145DF">
            <w:pPr>
              <w:rPr>
                <w:lang w:val="en-US"/>
              </w:rPr>
            </w:pPr>
            <w:r>
              <w:rPr>
                <w:lang w:val="en-US"/>
              </w:rPr>
              <w:t>At the request of the full Parish Council, the</w:t>
            </w:r>
            <w:r w:rsidR="005F3195">
              <w:rPr>
                <w:lang w:val="en-US"/>
              </w:rPr>
              <w:t xml:space="preserve"> F&amp;GP</w:t>
            </w:r>
            <w:r>
              <w:rPr>
                <w:lang w:val="en-US"/>
              </w:rPr>
              <w:t xml:space="preserve"> committee reviewed the budget for 2023/24 to identify potential sources of funding for the Planning Consultant (</w:t>
            </w:r>
            <w:r w:rsidR="00E6625C">
              <w:rPr>
                <w:lang w:val="en-US"/>
              </w:rPr>
              <w:t xml:space="preserve">Initially, </w:t>
            </w:r>
            <w:r>
              <w:rPr>
                <w:lang w:val="en-US"/>
              </w:rPr>
              <w:t>max £2500).</w:t>
            </w:r>
            <w:r w:rsidR="00E66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It was agreed to return to the full council with the following proposal:</w:t>
            </w:r>
          </w:p>
          <w:p w14:paraId="15D29CEB" w14:textId="77777777" w:rsidR="00130E29" w:rsidRDefault="00130E29" w:rsidP="00A145DF">
            <w:pPr>
              <w:rPr>
                <w:lang w:val="en-US"/>
              </w:rPr>
            </w:pPr>
          </w:p>
          <w:p w14:paraId="1ADCDFE3" w14:textId="3DF962E6" w:rsidR="00130E29" w:rsidRDefault="00130E29" w:rsidP="00DD2FEE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DD2FEE">
              <w:rPr>
                <w:b/>
                <w:bCs/>
                <w:lang w:val="en-US"/>
              </w:rPr>
              <w:t>Proposal:</w:t>
            </w:r>
            <w:r w:rsidRPr="00DD2FEE">
              <w:rPr>
                <w:lang w:val="en-US"/>
              </w:rPr>
              <w:t xml:space="preserve"> </w:t>
            </w:r>
            <w:r w:rsidR="00E6625C">
              <w:rPr>
                <w:lang w:val="en-US"/>
              </w:rPr>
              <w:t>It is proposed to</w:t>
            </w:r>
            <w:r w:rsidR="00797565">
              <w:rPr>
                <w:lang w:val="en-US"/>
              </w:rPr>
              <w:t xml:space="preserve"> fund the cost of the Planning Consultant</w:t>
            </w:r>
            <w:r w:rsidR="00E6625C">
              <w:rPr>
                <w:lang w:val="en-US"/>
              </w:rPr>
              <w:t xml:space="preserve"> by transferring </w:t>
            </w:r>
            <w:r w:rsidR="00F065DA" w:rsidRPr="00DD2FEE">
              <w:rPr>
                <w:lang w:val="en-US"/>
              </w:rPr>
              <w:t>£2</w:t>
            </w:r>
            <w:r w:rsidR="00E6625C">
              <w:rPr>
                <w:lang w:val="en-US"/>
              </w:rPr>
              <w:t>,</w:t>
            </w:r>
            <w:r w:rsidR="00F065DA" w:rsidRPr="00DD2FEE">
              <w:rPr>
                <w:lang w:val="en-US"/>
              </w:rPr>
              <w:t xml:space="preserve">500 </w:t>
            </w:r>
            <w:r w:rsidR="004C3936" w:rsidRPr="00DD2FEE">
              <w:rPr>
                <w:lang w:val="en-US"/>
              </w:rPr>
              <w:t xml:space="preserve">from </w:t>
            </w:r>
            <w:r w:rsidR="00E6625C">
              <w:rPr>
                <w:lang w:val="en-US"/>
              </w:rPr>
              <w:t xml:space="preserve">the </w:t>
            </w:r>
            <w:r w:rsidR="004C3936" w:rsidRPr="00DD2FEE">
              <w:rPr>
                <w:lang w:val="en-US"/>
              </w:rPr>
              <w:t xml:space="preserve">Playing Fields </w:t>
            </w:r>
            <w:r w:rsidR="00E6625C">
              <w:rPr>
                <w:lang w:val="en-US"/>
              </w:rPr>
              <w:t xml:space="preserve">budget allocation </w:t>
            </w:r>
            <w:r w:rsidR="004C3936" w:rsidRPr="00DD2FEE">
              <w:rPr>
                <w:lang w:val="en-US"/>
              </w:rPr>
              <w:t xml:space="preserve">(Rent </w:t>
            </w:r>
            <w:r w:rsidR="00DD2FEE" w:rsidRPr="00DD2FEE">
              <w:rPr>
                <w:lang w:val="en-US"/>
              </w:rPr>
              <w:t xml:space="preserve">£1800 + </w:t>
            </w:r>
            <w:r w:rsidR="00A04CD2">
              <w:rPr>
                <w:lang w:val="en-US"/>
              </w:rPr>
              <w:t>Grass Cutting</w:t>
            </w:r>
            <w:r w:rsidR="002E3B6C">
              <w:rPr>
                <w:lang w:val="en-US"/>
              </w:rPr>
              <w:t xml:space="preserve"> £700</w:t>
            </w:r>
            <w:r w:rsidR="00A04CD2">
              <w:rPr>
                <w:lang w:val="en-US"/>
              </w:rPr>
              <w:t>)</w:t>
            </w:r>
            <w:r w:rsidR="002E3B6C">
              <w:rPr>
                <w:lang w:val="en-US"/>
              </w:rPr>
              <w:t xml:space="preserve"> to </w:t>
            </w:r>
            <w:r w:rsidR="00E6625C">
              <w:rPr>
                <w:lang w:val="en-US"/>
              </w:rPr>
              <w:t xml:space="preserve">the </w:t>
            </w:r>
            <w:r w:rsidR="002E3B6C">
              <w:rPr>
                <w:lang w:val="en-US"/>
              </w:rPr>
              <w:t>Planning</w:t>
            </w:r>
            <w:r w:rsidR="00F376CF">
              <w:rPr>
                <w:lang w:val="en-US"/>
              </w:rPr>
              <w:t xml:space="preserve"> (Planning Consultant)</w:t>
            </w:r>
            <w:r w:rsidR="005F3195">
              <w:rPr>
                <w:lang w:val="en-US"/>
              </w:rPr>
              <w:t xml:space="preserve">. </w:t>
            </w:r>
          </w:p>
          <w:p w14:paraId="52D8C4B2" w14:textId="12CF6DB9" w:rsidR="00F76D6B" w:rsidRPr="00B63A6D" w:rsidRDefault="00F376CF" w:rsidP="00A145DF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0203BE">
              <w:rPr>
                <w:b/>
                <w:bCs/>
                <w:lang w:val="en-US"/>
              </w:rPr>
              <w:t>As a backup</w:t>
            </w:r>
            <w:r w:rsidRPr="00C55A3B">
              <w:rPr>
                <w:lang w:val="en-US"/>
              </w:rPr>
              <w:t xml:space="preserve">, a second source of funding </w:t>
            </w:r>
            <w:r w:rsidR="00BD598D">
              <w:rPr>
                <w:lang w:val="en-US"/>
              </w:rPr>
              <w:t xml:space="preserve">was </w:t>
            </w:r>
            <w:r w:rsidRPr="00C55A3B">
              <w:rPr>
                <w:lang w:val="en-US"/>
              </w:rPr>
              <w:t xml:space="preserve">also </w:t>
            </w:r>
            <w:r w:rsidR="00BD598D">
              <w:rPr>
                <w:lang w:val="en-US"/>
              </w:rPr>
              <w:t>identified</w:t>
            </w:r>
            <w:r w:rsidR="00604D43">
              <w:rPr>
                <w:lang w:val="en-US"/>
              </w:rPr>
              <w:t xml:space="preserve">. </w:t>
            </w:r>
            <w:r w:rsidR="00EA015F">
              <w:rPr>
                <w:lang w:val="en-US"/>
              </w:rPr>
              <w:t xml:space="preserve">It is proposed, as a back-up, </w:t>
            </w:r>
            <w:r w:rsidR="000203BE">
              <w:rPr>
                <w:lang w:val="en-US"/>
              </w:rPr>
              <w:t xml:space="preserve">to transfer </w:t>
            </w:r>
            <w:r w:rsidRPr="00DD2FEE">
              <w:rPr>
                <w:lang w:val="en-US"/>
              </w:rPr>
              <w:t>£2</w:t>
            </w:r>
            <w:r w:rsidR="000203BE">
              <w:rPr>
                <w:lang w:val="en-US"/>
              </w:rPr>
              <w:t>,</w:t>
            </w:r>
            <w:r w:rsidRPr="00DD2FEE">
              <w:rPr>
                <w:lang w:val="en-US"/>
              </w:rPr>
              <w:t xml:space="preserve">500 budget </w:t>
            </w:r>
            <w:r w:rsidR="000203BE">
              <w:rPr>
                <w:lang w:val="en-US"/>
              </w:rPr>
              <w:t>allocation from Amenities (</w:t>
            </w:r>
            <w:r w:rsidR="00B63A6D">
              <w:rPr>
                <w:lang w:val="en-US"/>
              </w:rPr>
              <w:t xml:space="preserve">Kings Coronation) </w:t>
            </w:r>
            <w:r>
              <w:rPr>
                <w:lang w:val="en-US"/>
              </w:rPr>
              <w:t xml:space="preserve">to </w:t>
            </w:r>
            <w:r w:rsidR="000203BE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Planning (Planning Consultant)</w:t>
            </w:r>
            <w:r w:rsidR="000203BE">
              <w:rPr>
                <w:lang w:val="en-US"/>
              </w:rPr>
              <w:t xml:space="preserve"> budget.</w:t>
            </w:r>
          </w:p>
        </w:tc>
        <w:tc>
          <w:tcPr>
            <w:tcW w:w="1215" w:type="dxa"/>
          </w:tcPr>
          <w:p w14:paraId="60FEC212" w14:textId="05BB3B09" w:rsidR="00F76D6B" w:rsidRDefault="00F76D6B" w:rsidP="00A145DF">
            <w:pPr>
              <w:rPr>
                <w:lang w:val="en-US"/>
              </w:rPr>
            </w:pPr>
            <w:r>
              <w:rPr>
                <w:lang w:val="en-US"/>
              </w:rPr>
              <w:t>Brian</w:t>
            </w:r>
          </w:p>
        </w:tc>
        <w:tc>
          <w:tcPr>
            <w:tcW w:w="1070" w:type="dxa"/>
          </w:tcPr>
          <w:p w14:paraId="28680B7A" w14:textId="7B3B0A6F" w:rsidR="00F76D6B" w:rsidRDefault="00F76D6B" w:rsidP="00A145DF">
            <w:pPr>
              <w:rPr>
                <w:lang w:val="en-US"/>
              </w:rPr>
            </w:pPr>
            <w:r>
              <w:rPr>
                <w:lang w:val="en-US"/>
              </w:rPr>
              <w:t>Clive</w:t>
            </w:r>
          </w:p>
        </w:tc>
      </w:tr>
      <w:tr w:rsidR="008E51BE" w14:paraId="3F24F95B" w14:textId="77777777" w:rsidTr="1A229AAA">
        <w:tc>
          <w:tcPr>
            <w:tcW w:w="701" w:type="dxa"/>
          </w:tcPr>
          <w:p w14:paraId="2F7CB9C7" w14:textId="5AE54624" w:rsidR="008E51BE" w:rsidRDefault="006E45BA" w:rsidP="00A145D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6030" w:type="dxa"/>
          </w:tcPr>
          <w:p w14:paraId="03FB95CC" w14:textId="77777777" w:rsidR="008E51BE" w:rsidRDefault="008E51BE" w:rsidP="00524D43">
            <w:pPr>
              <w:pStyle w:val="Heading1"/>
              <w:rPr>
                <w:lang w:val="en-US"/>
              </w:rPr>
            </w:pPr>
            <w:r>
              <w:rPr>
                <w:lang w:val="en-US"/>
              </w:rPr>
              <w:t>Risks</w:t>
            </w:r>
          </w:p>
          <w:p w14:paraId="5F72B941" w14:textId="5BA4509F" w:rsidR="003F6762" w:rsidRPr="00DE57C5" w:rsidRDefault="00581E46" w:rsidP="00DE57C5">
            <w:pPr>
              <w:rPr>
                <w:lang w:val="en-US"/>
              </w:rPr>
            </w:pPr>
            <w:r w:rsidRPr="00DE57C5">
              <w:rPr>
                <w:lang w:val="en-US"/>
              </w:rPr>
              <w:t xml:space="preserve">Paul </w:t>
            </w:r>
            <w:r w:rsidR="00A10796" w:rsidRPr="00DE57C5">
              <w:rPr>
                <w:lang w:val="en-US"/>
              </w:rPr>
              <w:t>introduced th</w:t>
            </w:r>
            <w:r w:rsidR="00021022" w:rsidRPr="00DE57C5">
              <w:rPr>
                <w:lang w:val="en-US"/>
              </w:rPr>
              <w:t>e discussion</w:t>
            </w:r>
            <w:r w:rsidR="00DE57C5">
              <w:rPr>
                <w:lang w:val="en-US"/>
              </w:rPr>
              <w:t xml:space="preserve"> on risk</w:t>
            </w:r>
            <w:r w:rsidR="00F347B9" w:rsidRPr="00DE57C5">
              <w:rPr>
                <w:lang w:val="en-US"/>
              </w:rPr>
              <w:t xml:space="preserve">. The </w:t>
            </w:r>
            <w:r w:rsidR="00B27713" w:rsidRPr="00DE57C5">
              <w:rPr>
                <w:lang w:val="en-US"/>
              </w:rPr>
              <w:t>purpose of looking at r</w:t>
            </w:r>
            <w:r w:rsidR="00021022" w:rsidRPr="00DE57C5">
              <w:rPr>
                <w:lang w:val="en-US"/>
              </w:rPr>
              <w:t>isk</w:t>
            </w:r>
            <w:r w:rsidR="00B27713" w:rsidRPr="00DE57C5">
              <w:rPr>
                <w:lang w:val="en-US"/>
              </w:rPr>
              <w:t xml:space="preserve">s was to </w:t>
            </w:r>
            <w:r w:rsidR="00D978CB" w:rsidRPr="00DE57C5">
              <w:rPr>
                <w:lang w:val="en-US"/>
              </w:rPr>
              <w:t>highlight</w:t>
            </w:r>
            <w:r w:rsidR="00B27713" w:rsidRPr="00DE57C5">
              <w:rPr>
                <w:lang w:val="en-US"/>
              </w:rPr>
              <w:t xml:space="preserve"> </w:t>
            </w:r>
            <w:r w:rsidR="00D978CB" w:rsidRPr="00DE57C5">
              <w:rPr>
                <w:lang w:val="en-US"/>
              </w:rPr>
              <w:t xml:space="preserve">and </w:t>
            </w:r>
            <w:proofErr w:type="spellStart"/>
            <w:r w:rsidR="00D978CB" w:rsidRPr="00DE57C5">
              <w:rPr>
                <w:lang w:val="en-US"/>
              </w:rPr>
              <w:t>priotis</w:t>
            </w:r>
            <w:r w:rsidR="00B27713" w:rsidRPr="00DE57C5">
              <w:rPr>
                <w:lang w:val="en-US"/>
              </w:rPr>
              <w:t>e</w:t>
            </w:r>
            <w:proofErr w:type="spellEnd"/>
            <w:r w:rsidR="00D978CB" w:rsidRPr="00DE57C5">
              <w:rPr>
                <w:lang w:val="en-US"/>
              </w:rPr>
              <w:t xml:space="preserve"> </w:t>
            </w:r>
            <w:r w:rsidR="00B27713" w:rsidRPr="00DE57C5">
              <w:rPr>
                <w:lang w:val="en-US"/>
              </w:rPr>
              <w:t xml:space="preserve">the </w:t>
            </w:r>
            <w:r w:rsidR="00251259" w:rsidRPr="00DE57C5">
              <w:rPr>
                <w:lang w:val="en-US"/>
              </w:rPr>
              <w:t xml:space="preserve">key organizational risks. </w:t>
            </w:r>
            <w:r w:rsidR="00D978CB" w:rsidRPr="00DE57C5">
              <w:rPr>
                <w:lang w:val="en-US"/>
              </w:rPr>
              <w:t xml:space="preserve"> </w:t>
            </w:r>
            <w:r w:rsidR="00B27713" w:rsidRPr="00DE57C5">
              <w:rPr>
                <w:lang w:val="en-US"/>
              </w:rPr>
              <w:t>Paul explained the process of ranking risk</w:t>
            </w:r>
            <w:r w:rsidR="00547F4C" w:rsidRPr="00DE57C5">
              <w:rPr>
                <w:lang w:val="en-US"/>
              </w:rPr>
              <w:t xml:space="preserve">, using the formula </w:t>
            </w:r>
            <w:r w:rsidR="00600558" w:rsidRPr="00600558">
              <w:rPr>
                <w:b/>
                <w:bCs/>
                <w:i/>
                <w:iCs/>
                <w:lang w:val="en-US"/>
              </w:rPr>
              <w:t xml:space="preserve">Level of </w:t>
            </w:r>
            <w:r w:rsidR="00547F4C" w:rsidRPr="00600558">
              <w:rPr>
                <w:b/>
                <w:bCs/>
                <w:i/>
                <w:iCs/>
                <w:lang w:val="en-US"/>
              </w:rPr>
              <w:t>risk</w:t>
            </w:r>
            <w:r w:rsidR="0038001D" w:rsidRPr="00DE57C5">
              <w:rPr>
                <w:b/>
                <w:bCs/>
                <w:i/>
                <w:iCs/>
                <w:lang w:val="en-US"/>
              </w:rPr>
              <w:t xml:space="preserve"> </w:t>
            </w:r>
            <w:r w:rsidR="00547F4C" w:rsidRPr="00DE57C5">
              <w:rPr>
                <w:b/>
                <w:bCs/>
                <w:i/>
                <w:iCs/>
                <w:lang w:val="en-US"/>
              </w:rPr>
              <w:t>=</w:t>
            </w:r>
            <w:r w:rsidR="0038001D" w:rsidRPr="00DE57C5">
              <w:rPr>
                <w:b/>
                <w:bCs/>
                <w:i/>
                <w:iCs/>
                <w:lang w:val="en-US"/>
              </w:rPr>
              <w:t xml:space="preserve"> likelihood x impact</w:t>
            </w:r>
            <w:r w:rsidR="007761E0" w:rsidRPr="00DE57C5">
              <w:rPr>
                <w:lang w:val="en-US"/>
              </w:rPr>
              <w:t xml:space="preserve"> </w:t>
            </w:r>
          </w:p>
          <w:p w14:paraId="7FCFDE5D" w14:textId="77DC2F07" w:rsidR="005D6133" w:rsidRPr="000E3FBD" w:rsidRDefault="000734BC" w:rsidP="000E3FB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0E3FBD">
              <w:rPr>
                <w:lang w:val="en-US"/>
              </w:rPr>
              <w:t xml:space="preserve">F&amp;GP </w:t>
            </w:r>
            <w:r>
              <w:rPr>
                <w:lang w:val="en-US"/>
              </w:rPr>
              <w:t xml:space="preserve">committee reviewed the draft list of </w:t>
            </w:r>
            <w:r w:rsidR="00E11012">
              <w:rPr>
                <w:lang w:val="en-US"/>
              </w:rPr>
              <w:t>main risks</w:t>
            </w:r>
            <w:r>
              <w:rPr>
                <w:lang w:val="en-US"/>
              </w:rPr>
              <w:t xml:space="preserve">. </w:t>
            </w:r>
            <w:r w:rsidR="00234190" w:rsidRPr="000E3FBD">
              <w:rPr>
                <w:b/>
                <w:bCs/>
                <w:highlight w:val="yellow"/>
                <w:lang w:val="en-US"/>
              </w:rPr>
              <w:t>Action:</w:t>
            </w:r>
            <w:r w:rsidR="00234190" w:rsidRPr="000E3FBD">
              <w:rPr>
                <w:lang w:val="en-US"/>
              </w:rPr>
              <w:t xml:space="preserve"> </w:t>
            </w:r>
            <w:r w:rsidRPr="000E3FBD">
              <w:rPr>
                <w:lang w:val="en-US"/>
              </w:rPr>
              <w:t xml:space="preserve">Paul </w:t>
            </w:r>
            <w:r w:rsidR="00234190" w:rsidRPr="000E3FBD">
              <w:rPr>
                <w:lang w:val="en-US"/>
              </w:rPr>
              <w:t>to</w:t>
            </w:r>
            <w:r w:rsidRPr="000E3FBD">
              <w:rPr>
                <w:lang w:val="en-US"/>
              </w:rPr>
              <w:t xml:space="preserve"> update the risks based on feedback from the committee</w:t>
            </w:r>
            <w:r w:rsidR="000E3FBD">
              <w:rPr>
                <w:lang w:val="en-US"/>
              </w:rPr>
              <w:t>.</w:t>
            </w:r>
          </w:p>
          <w:p w14:paraId="1EA038F7" w14:textId="7F54D4B8" w:rsidR="00234190" w:rsidRDefault="00234190" w:rsidP="005D613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490528">
              <w:rPr>
                <w:b/>
                <w:bCs/>
                <w:highlight w:val="yellow"/>
                <w:lang w:val="en-US"/>
              </w:rPr>
              <w:t>Action:</w:t>
            </w:r>
            <w:r>
              <w:rPr>
                <w:lang w:val="en-US"/>
              </w:rPr>
              <w:t xml:space="preserve"> Once </w:t>
            </w:r>
            <w:r w:rsidR="00E24D26">
              <w:rPr>
                <w:lang w:val="en-US"/>
              </w:rPr>
              <w:t>list of risks</w:t>
            </w:r>
            <w:r w:rsidR="0049052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updated, </w:t>
            </w:r>
            <w:r w:rsidR="00280655">
              <w:rPr>
                <w:lang w:val="en-US"/>
              </w:rPr>
              <w:t>gather input from Hayley</w:t>
            </w:r>
            <w:r w:rsidR="00490528">
              <w:rPr>
                <w:lang w:val="en-US"/>
              </w:rPr>
              <w:t>, before circulating to the wider Teynham PC.</w:t>
            </w:r>
          </w:p>
          <w:p w14:paraId="5EEFDE35" w14:textId="7370CB3F" w:rsidR="00280655" w:rsidRPr="005D6133" w:rsidRDefault="00280655" w:rsidP="005D613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D84CF6">
              <w:rPr>
                <w:b/>
                <w:bCs/>
                <w:highlight w:val="yellow"/>
                <w:lang w:val="en-US"/>
              </w:rPr>
              <w:t>Action:</w:t>
            </w:r>
            <w:r>
              <w:rPr>
                <w:lang w:val="en-US"/>
              </w:rPr>
              <w:t xml:space="preserve"> </w:t>
            </w:r>
            <w:r w:rsidR="00490528">
              <w:rPr>
                <w:lang w:val="en-US"/>
              </w:rPr>
              <w:t xml:space="preserve">Add </w:t>
            </w:r>
            <w:r w:rsidR="00875DD9">
              <w:rPr>
                <w:lang w:val="en-US"/>
              </w:rPr>
              <w:t xml:space="preserve">to future full TPC for review/action. </w:t>
            </w:r>
          </w:p>
        </w:tc>
        <w:tc>
          <w:tcPr>
            <w:tcW w:w="1215" w:type="dxa"/>
          </w:tcPr>
          <w:p w14:paraId="332C8C11" w14:textId="77777777" w:rsidR="008E51BE" w:rsidRDefault="008E51BE" w:rsidP="00A145DF">
            <w:pPr>
              <w:rPr>
                <w:lang w:val="en-US"/>
              </w:rPr>
            </w:pPr>
          </w:p>
        </w:tc>
        <w:tc>
          <w:tcPr>
            <w:tcW w:w="1070" w:type="dxa"/>
          </w:tcPr>
          <w:p w14:paraId="4F0648D5" w14:textId="77777777" w:rsidR="008E51BE" w:rsidRDefault="008E51BE" w:rsidP="00A145DF">
            <w:pPr>
              <w:rPr>
                <w:lang w:val="en-US"/>
              </w:rPr>
            </w:pPr>
          </w:p>
        </w:tc>
      </w:tr>
      <w:tr w:rsidR="008E51BE" w14:paraId="358708B1" w14:textId="77777777" w:rsidTr="1A229AAA">
        <w:tc>
          <w:tcPr>
            <w:tcW w:w="701" w:type="dxa"/>
          </w:tcPr>
          <w:p w14:paraId="087EFA12" w14:textId="0699184D" w:rsidR="008E51BE" w:rsidRDefault="006E45BA" w:rsidP="00A145DF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030" w:type="dxa"/>
          </w:tcPr>
          <w:p w14:paraId="4E4FAF8A" w14:textId="77777777" w:rsidR="008E51BE" w:rsidRDefault="003666D3" w:rsidP="00524D43">
            <w:pPr>
              <w:pStyle w:val="Heading1"/>
              <w:rPr>
                <w:lang w:val="en-US"/>
              </w:rPr>
            </w:pPr>
            <w:r>
              <w:rPr>
                <w:lang w:val="en-US"/>
              </w:rPr>
              <w:t>Electronic banking</w:t>
            </w:r>
          </w:p>
          <w:p w14:paraId="2941F106" w14:textId="1614D7F2" w:rsidR="003C4D4E" w:rsidRPr="006F016F" w:rsidRDefault="006F016F" w:rsidP="006F016F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6F016F">
              <w:rPr>
                <w:lang w:val="en-US"/>
              </w:rPr>
              <w:t>It was noted that: B</w:t>
            </w:r>
            <w:r w:rsidR="003C4D4E" w:rsidRPr="006F016F">
              <w:rPr>
                <w:lang w:val="en-US"/>
              </w:rPr>
              <w:t xml:space="preserve">rian and Clive (as the financial </w:t>
            </w:r>
            <w:r w:rsidR="006017DE" w:rsidRPr="006F016F">
              <w:rPr>
                <w:lang w:val="en-US"/>
              </w:rPr>
              <w:t xml:space="preserve">signatories) requested face-to-face training on the use of the new online banking </w:t>
            </w:r>
            <w:proofErr w:type="spellStart"/>
            <w:r w:rsidR="006017DE" w:rsidRPr="006F016F">
              <w:rPr>
                <w:lang w:val="en-US"/>
              </w:rPr>
              <w:t>authoristaion</w:t>
            </w:r>
            <w:proofErr w:type="spellEnd"/>
            <w:r w:rsidR="006017DE" w:rsidRPr="006F016F">
              <w:rPr>
                <w:lang w:val="en-US"/>
              </w:rPr>
              <w:t xml:space="preserve"> process</w:t>
            </w:r>
            <w:r w:rsidR="0028548C" w:rsidRPr="006F016F">
              <w:rPr>
                <w:lang w:val="en-US"/>
              </w:rPr>
              <w:t>.</w:t>
            </w:r>
          </w:p>
          <w:p w14:paraId="301C8819" w14:textId="33152C3F" w:rsidR="006F016F" w:rsidRDefault="0028548C" w:rsidP="006F016F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6F016F">
              <w:rPr>
                <w:lang w:val="en-US"/>
              </w:rPr>
              <w:t xml:space="preserve">Paul noted that we should have additional signatories in the event of illness or </w:t>
            </w:r>
            <w:r w:rsidR="006F016F" w:rsidRPr="006F016F">
              <w:rPr>
                <w:lang w:val="en-US"/>
              </w:rPr>
              <w:t xml:space="preserve">vacation. </w:t>
            </w:r>
          </w:p>
          <w:p w14:paraId="0A4C2822" w14:textId="438A6AB5" w:rsidR="0028548C" w:rsidRPr="006F016F" w:rsidRDefault="006F016F" w:rsidP="006F016F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6F016F">
              <w:rPr>
                <w:lang w:val="en-US"/>
              </w:rPr>
              <w:t xml:space="preserve">t was proposed that </w:t>
            </w:r>
            <w:r>
              <w:rPr>
                <w:lang w:val="en-US"/>
              </w:rPr>
              <w:t xml:space="preserve">we have four </w:t>
            </w:r>
            <w:proofErr w:type="spellStart"/>
            <w:r>
              <w:rPr>
                <w:lang w:val="en-US"/>
              </w:rPr>
              <w:t>signitures</w:t>
            </w:r>
            <w:proofErr w:type="spellEnd"/>
            <w:r>
              <w:rPr>
                <w:lang w:val="en-US"/>
              </w:rPr>
              <w:t xml:space="preserve"> for the electronic authorization process. Any 2 </w:t>
            </w:r>
            <w:proofErr w:type="spellStart"/>
            <w:r>
              <w:rPr>
                <w:lang w:val="en-US"/>
              </w:rPr>
              <w:t>signitures</w:t>
            </w:r>
            <w:proofErr w:type="spellEnd"/>
            <w:r>
              <w:rPr>
                <w:lang w:val="en-US"/>
              </w:rPr>
              <w:t xml:space="preserve"> required for </w:t>
            </w:r>
            <w:proofErr w:type="spellStart"/>
            <w:r>
              <w:rPr>
                <w:lang w:val="en-US"/>
              </w:rPr>
              <w:t>authorisation</w:t>
            </w:r>
            <w:proofErr w:type="spellEnd"/>
            <w:r w:rsidRPr="006F016F">
              <w:rPr>
                <w:lang w:val="en-US"/>
              </w:rPr>
              <w:t xml:space="preserve"> </w:t>
            </w:r>
          </w:p>
        </w:tc>
        <w:tc>
          <w:tcPr>
            <w:tcW w:w="1215" w:type="dxa"/>
          </w:tcPr>
          <w:p w14:paraId="26AC5E8B" w14:textId="29A71801" w:rsidR="008E51BE" w:rsidRDefault="006F016F" w:rsidP="00A145DF">
            <w:pPr>
              <w:rPr>
                <w:lang w:val="en-US"/>
              </w:rPr>
            </w:pPr>
            <w:r>
              <w:rPr>
                <w:lang w:val="en-US"/>
              </w:rPr>
              <w:t>Clive</w:t>
            </w:r>
          </w:p>
        </w:tc>
        <w:tc>
          <w:tcPr>
            <w:tcW w:w="1070" w:type="dxa"/>
          </w:tcPr>
          <w:p w14:paraId="3DB3CB32" w14:textId="1C595BD9" w:rsidR="008E51BE" w:rsidRDefault="006F016F" w:rsidP="00A145DF">
            <w:pPr>
              <w:rPr>
                <w:lang w:val="en-US"/>
              </w:rPr>
            </w:pPr>
            <w:r>
              <w:rPr>
                <w:lang w:val="en-US"/>
              </w:rPr>
              <w:t>Brian</w:t>
            </w:r>
          </w:p>
        </w:tc>
      </w:tr>
      <w:tr w:rsidR="008E51BE" w14:paraId="5A4CF9EE" w14:textId="77777777" w:rsidTr="1A229AAA">
        <w:tc>
          <w:tcPr>
            <w:tcW w:w="701" w:type="dxa"/>
          </w:tcPr>
          <w:p w14:paraId="2BE0CA47" w14:textId="27DD9A59" w:rsidR="008E51BE" w:rsidRDefault="006E45BA" w:rsidP="00A145DF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030" w:type="dxa"/>
          </w:tcPr>
          <w:p w14:paraId="6459104F" w14:textId="77777777" w:rsidR="00524D43" w:rsidRDefault="003666D3" w:rsidP="00524D43">
            <w:pPr>
              <w:pStyle w:val="Heading1"/>
              <w:rPr>
                <w:lang w:val="en-US"/>
              </w:rPr>
            </w:pPr>
            <w:r w:rsidRPr="006F1E23">
              <w:rPr>
                <w:lang w:val="en-US"/>
              </w:rPr>
              <w:t>Financial software</w:t>
            </w:r>
            <w:r w:rsidR="006F1E23">
              <w:rPr>
                <w:lang w:val="en-US"/>
              </w:rPr>
              <w:t xml:space="preserve"> </w:t>
            </w:r>
          </w:p>
          <w:p w14:paraId="49C926FE" w14:textId="118BB9B3" w:rsidR="003666D3" w:rsidRDefault="006F1E23" w:rsidP="00A145DF">
            <w:pPr>
              <w:rPr>
                <w:lang w:val="en-US"/>
              </w:rPr>
            </w:pPr>
            <w:r>
              <w:rPr>
                <w:lang w:val="en-US"/>
              </w:rPr>
              <w:t>Paul opened this topic</w:t>
            </w:r>
            <w:r w:rsidR="00A83BAE">
              <w:rPr>
                <w:lang w:val="en-US"/>
              </w:rPr>
              <w:t xml:space="preserve">: </w:t>
            </w:r>
            <w:r w:rsidR="003666D3">
              <w:rPr>
                <w:lang w:val="en-US"/>
              </w:rPr>
              <w:t xml:space="preserve">This is very important </w:t>
            </w:r>
            <w:r w:rsidR="005F3195">
              <w:rPr>
                <w:lang w:val="en-US"/>
              </w:rPr>
              <w:t>for me</w:t>
            </w:r>
            <w:r w:rsidR="003666D3">
              <w:rPr>
                <w:lang w:val="en-US"/>
              </w:rPr>
              <w:t>. Good information makes better decision making.</w:t>
            </w:r>
          </w:p>
          <w:p w14:paraId="67462FB6" w14:textId="77777777" w:rsidR="005F3195" w:rsidRDefault="005F3195" w:rsidP="00A145DF">
            <w:pPr>
              <w:rPr>
                <w:lang w:val="en-US"/>
              </w:rPr>
            </w:pPr>
          </w:p>
          <w:p w14:paraId="5E5DDA2F" w14:textId="5FBDE350" w:rsidR="00D85C31" w:rsidRDefault="00D85C31" w:rsidP="00A145DF">
            <w:pPr>
              <w:rPr>
                <w:lang w:val="en-US"/>
              </w:rPr>
            </w:pPr>
            <w:r w:rsidRPr="00D85C31">
              <w:rPr>
                <w:b/>
                <w:bCs/>
                <w:highlight w:val="yellow"/>
                <w:lang w:val="en-US"/>
              </w:rPr>
              <w:t>(Check with Hayley)</w:t>
            </w:r>
            <w:r>
              <w:rPr>
                <w:b/>
                <w:bCs/>
                <w:lang w:val="en-US"/>
              </w:rPr>
              <w:t xml:space="preserve"> </w:t>
            </w:r>
            <w:r w:rsidR="00352D82" w:rsidRPr="00D85C31">
              <w:rPr>
                <w:b/>
                <w:bCs/>
                <w:lang w:val="en-US"/>
              </w:rPr>
              <w:t>Update from Hayley</w:t>
            </w:r>
            <w:r w:rsidR="00896F97" w:rsidRPr="00D85C31">
              <w:rPr>
                <w:b/>
                <w:bCs/>
                <w:lang w:val="en-US"/>
              </w:rPr>
              <w:t>:</w:t>
            </w:r>
            <w:r w:rsidR="00896F97">
              <w:rPr>
                <w:lang w:val="en-US"/>
              </w:rPr>
              <w:t xml:space="preserve"> </w:t>
            </w:r>
            <w:r w:rsidR="00352D82">
              <w:rPr>
                <w:lang w:val="en-US"/>
              </w:rPr>
              <w:t xml:space="preserve">We </w:t>
            </w:r>
            <w:r w:rsidR="006F016F">
              <w:rPr>
                <w:lang w:val="en-US"/>
              </w:rPr>
              <w:t>can</w:t>
            </w:r>
            <w:r w:rsidR="00352D82">
              <w:rPr>
                <w:lang w:val="en-US"/>
              </w:rPr>
              <w:t xml:space="preserve"> export financial data from the bank account</w:t>
            </w:r>
            <w:r w:rsidR="005925E9">
              <w:rPr>
                <w:lang w:val="en-US"/>
              </w:rPr>
              <w:t xml:space="preserve">s in to </w:t>
            </w:r>
            <w:r w:rsidR="004F451E">
              <w:rPr>
                <w:lang w:val="en-US"/>
              </w:rPr>
              <w:t>E</w:t>
            </w:r>
            <w:r w:rsidR="005925E9">
              <w:rPr>
                <w:lang w:val="en-US"/>
              </w:rPr>
              <w:t>xcel. This removes the need to re-key data</w:t>
            </w:r>
            <w:r w:rsidR="00896F97">
              <w:rPr>
                <w:lang w:val="en-US"/>
              </w:rPr>
              <w:t xml:space="preserve">, which could potentially introduce errors. </w:t>
            </w:r>
            <w:r w:rsidR="00860FAE">
              <w:rPr>
                <w:lang w:val="en-US"/>
              </w:rPr>
              <w:t xml:space="preserve">Data is exported to excel </w:t>
            </w:r>
            <w:r>
              <w:rPr>
                <w:lang w:val="en-US"/>
              </w:rPr>
              <w:t>to create management reports. This requires (time consuming) manual production of reports. We are in the process of looking at different financial software</w:t>
            </w:r>
            <w:r w:rsidR="00F372F8">
              <w:rPr>
                <w:lang w:val="en-US"/>
              </w:rPr>
              <w:t xml:space="preserve">. </w:t>
            </w:r>
          </w:p>
          <w:p w14:paraId="5D1307B8" w14:textId="77777777" w:rsidR="00D85C31" w:rsidRDefault="00D85C31" w:rsidP="00A145DF">
            <w:pPr>
              <w:rPr>
                <w:lang w:val="en-US"/>
              </w:rPr>
            </w:pPr>
          </w:p>
          <w:p w14:paraId="4D5B3C40" w14:textId="64AD796E" w:rsidR="008E51BE" w:rsidRPr="00F372F8" w:rsidRDefault="003666D3" w:rsidP="00F372F8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F372F8">
              <w:rPr>
                <w:b/>
                <w:bCs/>
                <w:lang w:val="en-US"/>
              </w:rPr>
              <w:t xml:space="preserve">SCRIBE </w:t>
            </w:r>
            <w:r w:rsidRPr="00F372F8">
              <w:rPr>
                <w:lang w:val="en-US"/>
              </w:rPr>
              <w:t xml:space="preserve">(used by many PCs); </w:t>
            </w:r>
            <w:r w:rsidR="00F83849">
              <w:rPr>
                <w:lang w:val="en-US"/>
              </w:rPr>
              <w:t xml:space="preserve">This software has many useful </w:t>
            </w:r>
            <w:r w:rsidR="00D5572F">
              <w:rPr>
                <w:lang w:val="en-US"/>
              </w:rPr>
              <w:t>features;</w:t>
            </w:r>
            <w:r w:rsidR="00F83849">
              <w:rPr>
                <w:lang w:val="en-US"/>
              </w:rPr>
              <w:t xml:space="preserve"> however, it does not include the facility to download/import data directly from the bank account</w:t>
            </w:r>
            <w:r w:rsidR="00D5572F">
              <w:rPr>
                <w:lang w:val="en-US"/>
              </w:rPr>
              <w:t>. The software is more expensive than expected (£55/</w:t>
            </w:r>
            <w:proofErr w:type="spellStart"/>
            <w:r w:rsidR="00D5572F">
              <w:rPr>
                <w:lang w:val="en-US"/>
              </w:rPr>
              <w:t>pcm</w:t>
            </w:r>
            <w:proofErr w:type="spellEnd"/>
            <w:r w:rsidR="00D5572F">
              <w:rPr>
                <w:lang w:val="en-US"/>
              </w:rPr>
              <w:t xml:space="preserve"> + set up costs)</w:t>
            </w:r>
            <w:r w:rsidRPr="00F372F8">
              <w:rPr>
                <w:lang w:val="en-US"/>
              </w:rPr>
              <w:t>.</w:t>
            </w:r>
          </w:p>
          <w:p w14:paraId="72FCCC45" w14:textId="77777777" w:rsidR="00983405" w:rsidRDefault="003666D3" w:rsidP="00F372F8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F372F8">
              <w:rPr>
                <w:b/>
                <w:bCs/>
                <w:lang w:val="en-US"/>
              </w:rPr>
              <w:t xml:space="preserve">FREEAGENT </w:t>
            </w:r>
            <w:r w:rsidR="00D5572F" w:rsidRPr="002A677E">
              <w:rPr>
                <w:lang w:val="en-US"/>
              </w:rPr>
              <w:t>is a software package, offered by our bank,</w:t>
            </w:r>
            <w:r w:rsidR="00D5572F">
              <w:rPr>
                <w:b/>
                <w:bCs/>
                <w:lang w:val="en-US"/>
              </w:rPr>
              <w:t xml:space="preserve"> </w:t>
            </w:r>
            <w:r w:rsidR="008F17FE" w:rsidRPr="00F372F8">
              <w:rPr>
                <w:lang w:val="en-US"/>
              </w:rPr>
              <w:t>NatWest</w:t>
            </w:r>
            <w:r w:rsidR="00D5572F">
              <w:rPr>
                <w:lang w:val="en-US"/>
              </w:rPr>
              <w:t xml:space="preserve">. There are no charges while </w:t>
            </w:r>
            <w:r w:rsidR="008F17FE">
              <w:rPr>
                <w:lang w:val="en-US"/>
              </w:rPr>
              <w:t xml:space="preserve">we bank with NatWest. </w:t>
            </w:r>
            <w:r w:rsidRPr="00F372F8">
              <w:rPr>
                <w:lang w:val="en-US"/>
              </w:rPr>
              <w:t>H</w:t>
            </w:r>
            <w:r w:rsidR="008F17FE">
              <w:rPr>
                <w:lang w:val="en-US"/>
              </w:rPr>
              <w:t xml:space="preserve">ayley </w:t>
            </w:r>
            <w:r w:rsidR="002A677E">
              <w:rPr>
                <w:lang w:val="en-US"/>
              </w:rPr>
              <w:t xml:space="preserve">had made initial contact with the support team at </w:t>
            </w:r>
            <w:proofErr w:type="spellStart"/>
            <w:r w:rsidR="002A677E">
              <w:rPr>
                <w:lang w:val="en-US"/>
              </w:rPr>
              <w:t>Freeagent</w:t>
            </w:r>
            <w:proofErr w:type="spellEnd"/>
            <w:r w:rsidR="008C6BBF">
              <w:rPr>
                <w:lang w:val="en-US"/>
              </w:rPr>
              <w:t xml:space="preserve"> to get information </w:t>
            </w:r>
            <w:r w:rsidR="008C6BBF">
              <w:rPr>
                <w:lang w:val="en-US"/>
              </w:rPr>
              <w:lastRenderedPageBreak/>
              <w:t xml:space="preserve">on how it could be used with our account. A meeting has been scheduled for </w:t>
            </w:r>
            <w:r w:rsidR="00983405">
              <w:rPr>
                <w:lang w:val="en-US"/>
              </w:rPr>
              <w:t>20 June with Chairman to look at the package in detail.</w:t>
            </w:r>
          </w:p>
          <w:p w14:paraId="69BCD3DE" w14:textId="6CAB7278" w:rsidR="003666D3" w:rsidRPr="00F372F8" w:rsidRDefault="003666D3" w:rsidP="00F372F8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F372F8">
              <w:rPr>
                <w:b/>
                <w:bCs/>
                <w:lang w:val="en-US"/>
              </w:rPr>
              <w:t>ZERO</w:t>
            </w:r>
            <w:r w:rsidRPr="00F372F8">
              <w:rPr>
                <w:lang w:val="en-US"/>
              </w:rPr>
              <w:t xml:space="preserve"> – </w:t>
            </w:r>
            <w:r w:rsidR="00983405">
              <w:rPr>
                <w:lang w:val="en-US"/>
              </w:rPr>
              <w:t xml:space="preserve">This is another </w:t>
            </w:r>
            <w:r w:rsidR="00982B3F">
              <w:rPr>
                <w:lang w:val="en-US"/>
              </w:rPr>
              <w:t xml:space="preserve">business grade </w:t>
            </w:r>
            <w:r w:rsidR="00983405">
              <w:rPr>
                <w:lang w:val="en-US"/>
              </w:rPr>
              <w:t xml:space="preserve">financial </w:t>
            </w:r>
            <w:r w:rsidR="00762C98">
              <w:rPr>
                <w:lang w:val="en-US"/>
              </w:rPr>
              <w:t xml:space="preserve">software </w:t>
            </w:r>
            <w:r w:rsidR="00983405">
              <w:rPr>
                <w:lang w:val="en-US"/>
              </w:rPr>
              <w:t>package</w:t>
            </w:r>
            <w:r w:rsidR="00EE1F89">
              <w:rPr>
                <w:lang w:val="en-US"/>
              </w:rPr>
              <w:t xml:space="preserve">, </w:t>
            </w:r>
            <w:r w:rsidR="00982B3F">
              <w:rPr>
                <w:lang w:val="en-US"/>
              </w:rPr>
              <w:t>which we</w:t>
            </w:r>
            <w:r w:rsidR="00EE1F89">
              <w:rPr>
                <w:lang w:val="en-US"/>
              </w:rPr>
              <w:t xml:space="preserve"> will investigate if </w:t>
            </w:r>
            <w:proofErr w:type="spellStart"/>
            <w:r w:rsidR="00EE1F89">
              <w:rPr>
                <w:lang w:val="en-US"/>
              </w:rPr>
              <w:t>Freeagent</w:t>
            </w:r>
            <w:proofErr w:type="spellEnd"/>
            <w:r w:rsidR="00EE1F89">
              <w:rPr>
                <w:lang w:val="en-US"/>
              </w:rPr>
              <w:t xml:space="preserve"> is </w:t>
            </w:r>
            <w:r w:rsidR="00982B3F">
              <w:rPr>
                <w:lang w:val="en-US"/>
              </w:rPr>
              <w:t xml:space="preserve">deemed </w:t>
            </w:r>
            <w:r w:rsidR="001176A6">
              <w:rPr>
                <w:lang w:val="en-US"/>
              </w:rPr>
              <w:t>to be un</w:t>
            </w:r>
            <w:r w:rsidR="00982B3F">
              <w:rPr>
                <w:lang w:val="en-US"/>
              </w:rPr>
              <w:t>usable</w:t>
            </w:r>
            <w:r w:rsidR="001176A6">
              <w:rPr>
                <w:lang w:val="en-US"/>
              </w:rPr>
              <w:t xml:space="preserve">. Cost: </w:t>
            </w:r>
            <w:r w:rsidRPr="00F372F8">
              <w:rPr>
                <w:lang w:val="en-US"/>
              </w:rPr>
              <w:t>£30/pm</w:t>
            </w:r>
          </w:p>
        </w:tc>
        <w:tc>
          <w:tcPr>
            <w:tcW w:w="1215" w:type="dxa"/>
          </w:tcPr>
          <w:p w14:paraId="0C18CFD5" w14:textId="77777777" w:rsidR="008E51BE" w:rsidRDefault="008E51BE" w:rsidP="00A145DF">
            <w:pPr>
              <w:rPr>
                <w:lang w:val="en-US"/>
              </w:rPr>
            </w:pPr>
          </w:p>
        </w:tc>
        <w:tc>
          <w:tcPr>
            <w:tcW w:w="1070" w:type="dxa"/>
          </w:tcPr>
          <w:p w14:paraId="2EE9CC3D" w14:textId="77777777" w:rsidR="008E51BE" w:rsidRDefault="008E51BE" w:rsidP="00A145DF">
            <w:pPr>
              <w:rPr>
                <w:lang w:val="en-US"/>
              </w:rPr>
            </w:pPr>
          </w:p>
        </w:tc>
      </w:tr>
      <w:tr w:rsidR="008E51BE" w14:paraId="37BA2B33" w14:textId="77777777" w:rsidTr="1A229AAA">
        <w:tc>
          <w:tcPr>
            <w:tcW w:w="701" w:type="dxa"/>
          </w:tcPr>
          <w:p w14:paraId="36DD2B0D" w14:textId="274590A4" w:rsidR="008E51BE" w:rsidRDefault="006E45BA" w:rsidP="00A145D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030" w:type="dxa"/>
          </w:tcPr>
          <w:p w14:paraId="5AF9CA8F" w14:textId="77777777" w:rsidR="00524D43" w:rsidRDefault="003666D3" w:rsidP="00524D43">
            <w:pPr>
              <w:pStyle w:val="Heading1"/>
              <w:rPr>
                <w:lang w:val="en-US"/>
              </w:rPr>
            </w:pPr>
            <w:r w:rsidRPr="006F1E23">
              <w:rPr>
                <w:lang w:val="en-US"/>
              </w:rPr>
              <w:t>Next meeting</w:t>
            </w:r>
          </w:p>
          <w:p w14:paraId="5DC95023" w14:textId="4348CD53" w:rsidR="008E51BE" w:rsidRDefault="006F1E23" w:rsidP="00A145DF">
            <w:pPr>
              <w:rPr>
                <w:lang w:val="en-US"/>
              </w:rPr>
            </w:pPr>
            <w:r>
              <w:rPr>
                <w:lang w:val="en-US"/>
              </w:rPr>
              <w:t>Date to be confirmed by Clerk</w:t>
            </w:r>
          </w:p>
        </w:tc>
        <w:tc>
          <w:tcPr>
            <w:tcW w:w="1215" w:type="dxa"/>
          </w:tcPr>
          <w:p w14:paraId="0F143452" w14:textId="77777777" w:rsidR="008E51BE" w:rsidRDefault="008E51BE" w:rsidP="00A145DF">
            <w:pPr>
              <w:rPr>
                <w:lang w:val="en-US"/>
              </w:rPr>
            </w:pPr>
          </w:p>
        </w:tc>
        <w:tc>
          <w:tcPr>
            <w:tcW w:w="1070" w:type="dxa"/>
          </w:tcPr>
          <w:p w14:paraId="1527ECF5" w14:textId="77777777" w:rsidR="008E51BE" w:rsidRDefault="008E51BE" w:rsidP="00A145DF">
            <w:pPr>
              <w:rPr>
                <w:lang w:val="en-US"/>
              </w:rPr>
            </w:pPr>
          </w:p>
        </w:tc>
      </w:tr>
      <w:tr w:rsidR="008E51BE" w14:paraId="247C78B0" w14:textId="77777777" w:rsidTr="1A229AAA">
        <w:tc>
          <w:tcPr>
            <w:tcW w:w="701" w:type="dxa"/>
          </w:tcPr>
          <w:p w14:paraId="5CB85FFB" w14:textId="6349A7E9" w:rsidR="008E51BE" w:rsidRDefault="006E45BA" w:rsidP="00A145DF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030" w:type="dxa"/>
          </w:tcPr>
          <w:p w14:paraId="14F850CD" w14:textId="77777777" w:rsidR="00524D43" w:rsidRDefault="002A7B55" w:rsidP="00524D43">
            <w:pPr>
              <w:pStyle w:val="Heading1"/>
              <w:rPr>
                <w:lang w:val="en-US"/>
              </w:rPr>
            </w:pPr>
            <w:r w:rsidRPr="00B766BF">
              <w:rPr>
                <w:lang w:val="en-US"/>
              </w:rPr>
              <w:t>Chairman’s closing remarks</w:t>
            </w:r>
          </w:p>
          <w:p w14:paraId="284703FD" w14:textId="14F3DD3F" w:rsidR="008E51BE" w:rsidRDefault="00B766BF" w:rsidP="00A145DF">
            <w:pPr>
              <w:rPr>
                <w:lang w:val="en-US"/>
              </w:rPr>
            </w:pPr>
            <w:r>
              <w:rPr>
                <w:lang w:val="en-US"/>
              </w:rPr>
              <w:t>Managing our risks</w:t>
            </w:r>
            <w:r w:rsidR="008E51BE">
              <w:rPr>
                <w:lang w:val="en-US"/>
              </w:rPr>
              <w:t xml:space="preserve"> will help us </w:t>
            </w:r>
            <w:proofErr w:type="spellStart"/>
            <w:r w:rsidR="00427BD2">
              <w:rPr>
                <w:lang w:val="en-US"/>
              </w:rPr>
              <w:t>prioritise</w:t>
            </w:r>
            <w:proofErr w:type="spellEnd"/>
            <w:r w:rsidR="00427BD2">
              <w:rPr>
                <w:lang w:val="en-US"/>
              </w:rPr>
              <w:t xml:space="preserve"> what needs to be looked at </w:t>
            </w:r>
            <w:r w:rsidR="000E0167">
              <w:rPr>
                <w:lang w:val="en-US"/>
              </w:rPr>
              <w:t>first</w:t>
            </w:r>
            <w:r w:rsidR="003666D3">
              <w:rPr>
                <w:lang w:val="en-US"/>
              </w:rPr>
              <w:t xml:space="preserve">. Good financial information </w:t>
            </w:r>
            <w:r w:rsidR="00086643">
              <w:rPr>
                <w:lang w:val="en-US"/>
              </w:rPr>
              <w:t>promotes</w:t>
            </w:r>
            <w:r w:rsidR="003666D3">
              <w:rPr>
                <w:lang w:val="en-US"/>
              </w:rPr>
              <w:t xml:space="preserve"> better decision making.</w:t>
            </w:r>
            <w:r w:rsidR="004F451E">
              <w:rPr>
                <w:lang w:val="en-US"/>
              </w:rPr>
              <w:t xml:space="preserve"> </w:t>
            </w:r>
          </w:p>
        </w:tc>
        <w:tc>
          <w:tcPr>
            <w:tcW w:w="1215" w:type="dxa"/>
          </w:tcPr>
          <w:p w14:paraId="4770D8A7" w14:textId="77777777" w:rsidR="008E51BE" w:rsidRDefault="008E51BE" w:rsidP="00A145DF">
            <w:pPr>
              <w:rPr>
                <w:lang w:val="en-US"/>
              </w:rPr>
            </w:pPr>
          </w:p>
        </w:tc>
        <w:tc>
          <w:tcPr>
            <w:tcW w:w="1070" w:type="dxa"/>
          </w:tcPr>
          <w:p w14:paraId="4F344D0B" w14:textId="77777777" w:rsidR="008E51BE" w:rsidRDefault="008E51BE" w:rsidP="00A145DF">
            <w:pPr>
              <w:rPr>
                <w:lang w:val="en-US"/>
              </w:rPr>
            </w:pPr>
          </w:p>
        </w:tc>
      </w:tr>
      <w:tr w:rsidR="008A2379" w14:paraId="41EC7E27" w14:textId="77777777" w:rsidTr="1A229AAA">
        <w:tc>
          <w:tcPr>
            <w:tcW w:w="701" w:type="dxa"/>
          </w:tcPr>
          <w:p w14:paraId="1A075EC4" w14:textId="06252371" w:rsidR="008A2379" w:rsidRDefault="006E45BA" w:rsidP="00A145DF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030" w:type="dxa"/>
          </w:tcPr>
          <w:p w14:paraId="1C110F6C" w14:textId="77777777" w:rsidR="006E45BA" w:rsidRDefault="006E45BA" w:rsidP="006E45BA">
            <w:pPr>
              <w:pStyle w:val="Heading1"/>
              <w:rPr>
                <w:lang w:val="en-US"/>
              </w:rPr>
            </w:pPr>
            <w:r>
              <w:rPr>
                <w:lang w:val="en-US"/>
              </w:rPr>
              <w:t>Meeting Close</w:t>
            </w:r>
          </w:p>
          <w:p w14:paraId="27CB4D10" w14:textId="55398E33" w:rsidR="008A2379" w:rsidRDefault="008A2379" w:rsidP="003666D3">
            <w:pPr>
              <w:rPr>
                <w:lang w:val="en-US"/>
              </w:rPr>
            </w:pPr>
            <w:r>
              <w:rPr>
                <w:lang w:val="en-US"/>
              </w:rPr>
              <w:t xml:space="preserve">The meeting closed at </w:t>
            </w:r>
            <w:r>
              <w:rPr>
                <w:b/>
                <w:bCs/>
                <w:lang w:val="en-US"/>
              </w:rPr>
              <w:t>21:35</w:t>
            </w:r>
          </w:p>
        </w:tc>
        <w:tc>
          <w:tcPr>
            <w:tcW w:w="1215" w:type="dxa"/>
          </w:tcPr>
          <w:p w14:paraId="3D5819B5" w14:textId="77777777" w:rsidR="008A2379" w:rsidRDefault="008A2379" w:rsidP="00A145DF">
            <w:pPr>
              <w:rPr>
                <w:lang w:val="en-US"/>
              </w:rPr>
            </w:pPr>
          </w:p>
        </w:tc>
        <w:tc>
          <w:tcPr>
            <w:tcW w:w="1070" w:type="dxa"/>
          </w:tcPr>
          <w:p w14:paraId="77DF05C0" w14:textId="77777777" w:rsidR="008A2379" w:rsidRDefault="008A2379" w:rsidP="00A145DF">
            <w:pPr>
              <w:rPr>
                <w:lang w:val="en-US"/>
              </w:rPr>
            </w:pPr>
          </w:p>
        </w:tc>
      </w:tr>
    </w:tbl>
    <w:p w14:paraId="64BEF229" w14:textId="77777777" w:rsidR="008E51BE" w:rsidRPr="000E0167" w:rsidRDefault="008E51BE" w:rsidP="00A145DF"/>
    <w:sectPr w:rsidR="008E51BE" w:rsidRPr="000E0167" w:rsidSect="002513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4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FE44" w14:textId="77777777" w:rsidR="00B4650B" w:rsidRDefault="00B4650B" w:rsidP="0086453F">
      <w:r>
        <w:separator/>
      </w:r>
    </w:p>
  </w:endnote>
  <w:endnote w:type="continuationSeparator" w:id="0">
    <w:p w14:paraId="196BF997" w14:textId="77777777" w:rsidR="00B4650B" w:rsidRDefault="00B4650B" w:rsidP="0086453F">
      <w:r>
        <w:continuationSeparator/>
      </w:r>
    </w:p>
  </w:endnote>
  <w:endnote w:type="continuationNotice" w:id="1">
    <w:p w14:paraId="2A6FA321" w14:textId="77777777" w:rsidR="00B4650B" w:rsidRDefault="00B465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05B3" w14:textId="77777777" w:rsidR="006A56AF" w:rsidRDefault="006A5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9D7F" w14:textId="77777777" w:rsidR="006A56AF" w:rsidRDefault="006A56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8AE9" w14:textId="77777777" w:rsidR="006A56AF" w:rsidRDefault="006A5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59DA" w14:textId="77777777" w:rsidR="00B4650B" w:rsidRDefault="00B4650B" w:rsidP="0086453F">
      <w:r>
        <w:separator/>
      </w:r>
    </w:p>
  </w:footnote>
  <w:footnote w:type="continuationSeparator" w:id="0">
    <w:p w14:paraId="7CB02C33" w14:textId="77777777" w:rsidR="00B4650B" w:rsidRDefault="00B4650B" w:rsidP="0086453F">
      <w:r>
        <w:continuationSeparator/>
      </w:r>
    </w:p>
  </w:footnote>
  <w:footnote w:type="continuationNotice" w:id="1">
    <w:p w14:paraId="4AE08DED" w14:textId="77777777" w:rsidR="00B4650B" w:rsidRDefault="00B465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81D0" w14:textId="387EDDAD" w:rsidR="0086453F" w:rsidRDefault="0086453F" w:rsidP="00FD283B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55F1BCE" w14:textId="77777777" w:rsidR="0086453F" w:rsidRDefault="00864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9656" w14:textId="620E8CED" w:rsidR="0086453F" w:rsidRDefault="006A56AF" w:rsidP="00FD283B">
    <w:pPr>
      <w:pStyle w:val="Header"/>
      <w:framePr w:wrap="none" w:vAnchor="text" w:hAnchor="margin" w:xAlign="center" w:y="1"/>
      <w:rPr>
        <w:rStyle w:val="PageNumber"/>
      </w:rPr>
    </w:pPr>
    <w:sdt>
      <w:sdtPr>
        <w:rPr>
          <w:rStyle w:val="PageNumber"/>
        </w:rPr>
        <w:id w:val="2043635940"/>
        <w:docPartObj>
          <w:docPartGallery w:val="Watermarks"/>
          <w:docPartUnique/>
        </w:docPartObj>
      </w:sdtPr>
      <w:sdtContent>
        <w:r w:rsidRPr="006A56AF">
          <w:rPr>
            <w:rStyle w:val="PageNumber"/>
            <w:noProof/>
          </w:rPr>
          <w:pict w14:anchorId="04AA24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rStyle w:val="PageNumber"/>
        </w:rPr>
        <w:id w:val="70550108"/>
        <w:docPartObj>
          <w:docPartGallery w:val="Page Numbers (Top of Page)"/>
          <w:docPartUnique/>
        </w:docPartObj>
      </w:sdtPr>
      <w:sdtContent>
        <w:r w:rsidR="0086453F">
          <w:rPr>
            <w:rStyle w:val="PageNumber"/>
          </w:rPr>
          <w:fldChar w:fldCharType="begin"/>
        </w:r>
        <w:r w:rsidR="0086453F">
          <w:rPr>
            <w:rStyle w:val="PageNumber"/>
          </w:rPr>
          <w:instrText xml:space="preserve"> PAGE </w:instrText>
        </w:r>
        <w:r w:rsidR="0086453F">
          <w:rPr>
            <w:rStyle w:val="PageNumber"/>
          </w:rPr>
          <w:fldChar w:fldCharType="separate"/>
        </w:r>
        <w:r w:rsidR="0086453F">
          <w:rPr>
            <w:rStyle w:val="PageNumber"/>
            <w:noProof/>
          </w:rPr>
          <w:t>6</w:t>
        </w:r>
        <w:r w:rsidR="0086453F">
          <w:rPr>
            <w:rStyle w:val="PageNumber"/>
          </w:rPr>
          <w:fldChar w:fldCharType="end"/>
        </w:r>
      </w:sdtContent>
    </w:sdt>
  </w:p>
  <w:p w14:paraId="0299ED08" w14:textId="15368C13" w:rsidR="0086453F" w:rsidRDefault="008A2379" w:rsidP="008A2379">
    <w:pPr>
      <w:pStyle w:val="Header"/>
      <w:numPr>
        <w:ilvl w:val="0"/>
        <w:numId w:val="6"/>
      </w:numPr>
      <w:jc w:val="center"/>
    </w:pPr>
    <w:r>
      <w:t>/2</w:t>
    </w:r>
    <w:r w:rsidR="00643189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9825" w14:textId="77777777" w:rsidR="006A56AF" w:rsidRDefault="006A5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971C5"/>
    <w:multiLevelType w:val="hybridMultilevel"/>
    <w:tmpl w:val="C4EC1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54CE9"/>
    <w:multiLevelType w:val="hybridMultilevel"/>
    <w:tmpl w:val="A00C7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C7175"/>
    <w:multiLevelType w:val="hybridMultilevel"/>
    <w:tmpl w:val="61B83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F3C47"/>
    <w:multiLevelType w:val="hybridMultilevel"/>
    <w:tmpl w:val="EEB09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004D4"/>
    <w:multiLevelType w:val="hybridMultilevel"/>
    <w:tmpl w:val="BEBA7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F0DB2"/>
    <w:multiLevelType w:val="hybridMultilevel"/>
    <w:tmpl w:val="1758C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A46F0"/>
    <w:multiLevelType w:val="hybridMultilevel"/>
    <w:tmpl w:val="C3F2B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21CAC"/>
    <w:multiLevelType w:val="hybridMultilevel"/>
    <w:tmpl w:val="8CAAF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F2AE9"/>
    <w:multiLevelType w:val="hybridMultilevel"/>
    <w:tmpl w:val="C938E430"/>
    <w:lvl w:ilvl="0" w:tplc="55D664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615740">
    <w:abstractNumId w:val="2"/>
  </w:num>
  <w:num w:numId="2" w16cid:durableId="2107799234">
    <w:abstractNumId w:val="7"/>
  </w:num>
  <w:num w:numId="3" w16cid:durableId="1195777498">
    <w:abstractNumId w:val="3"/>
  </w:num>
  <w:num w:numId="4" w16cid:durableId="295453247">
    <w:abstractNumId w:val="1"/>
  </w:num>
  <w:num w:numId="5" w16cid:durableId="1592201052">
    <w:abstractNumId w:val="6"/>
  </w:num>
  <w:num w:numId="6" w16cid:durableId="1763721844">
    <w:abstractNumId w:val="8"/>
  </w:num>
  <w:num w:numId="7" w16cid:durableId="1598170470">
    <w:abstractNumId w:val="5"/>
  </w:num>
  <w:num w:numId="8" w16cid:durableId="1788306384">
    <w:abstractNumId w:val="4"/>
  </w:num>
  <w:num w:numId="9" w16cid:durableId="206085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DF"/>
    <w:rsid w:val="000010C6"/>
    <w:rsid w:val="000203BE"/>
    <w:rsid w:val="00021022"/>
    <w:rsid w:val="000734BC"/>
    <w:rsid w:val="00086643"/>
    <w:rsid w:val="000D70F1"/>
    <w:rsid w:val="000E0167"/>
    <w:rsid w:val="000E3FBD"/>
    <w:rsid w:val="000E59EA"/>
    <w:rsid w:val="00106C4B"/>
    <w:rsid w:val="001176A6"/>
    <w:rsid w:val="0012444D"/>
    <w:rsid w:val="00130E29"/>
    <w:rsid w:val="00180196"/>
    <w:rsid w:val="001E0032"/>
    <w:rsid w:val="00234190"/>
    <w:rsid w:val="00251259"/>
    <w:rsid w:val="00251399"/>
    <w:rsid w:val="0027356C"/>
    <w:rsid w:val="00280655"/>
    <w:rsid w:val="0028548C"/>
    <w:rsid w:val="00295C24"/>
    <w:rsid w:val="002A677E"/>
    <w:rsid w:val="002A7B55"/>
    <w:rsid w:val="002D4845"/>
    <w:rsid w:val="002D561E"/>
    <w:rsid w:val="002E0DB9"/>
    <w:rsid w:val="002E3B6C"/>
    <w:rsid w:val="00310D4C"/>
    <w:rsid w:val="0035091A"/>
    <w:rsid w:val="00352D82"/>
    <w:rsid w:val="003622AA"/>
    <w:rsid w:val="0036507B"/>
    <w:rsid w:val="003666D3"/>
    <w:rsid w:val="0038001D"/>
    <w:rsid w:val="003C4D4E"/>
    <w:rsid w:val="003C604F"/>
    <w:rsid w:val="003D4E32"/>
    <w:rsid w:val="003F6762"/>
    <w:rsid w:val="00410A76"/>
    <w:rsid w:val="00427BD2"/>
    <w:rsid w:val="004440E9"/>
    <w:rsid w:val="00476479"/>
    <w:rsid w:val="00490528"/>
    <w:rsid w:val="004C3936"/>
    <w:rsid w:val="004C7384"/>
    <w:rsid w:val="004D0B13"/>
    <w:rsid w:val="004E5CD3"/>
    <w:rsid w:val="004F451E"/>
    <w:rsid w:val="00515351"/>
    <w:rsid w:val="0052245A"/>
    <w:rsid w:val="00523869"/>
    <w:rsid w:val="00524D43"/>
    <w:rsid w:val="00547EBE"/>
    <w:rsid w:val="00547F4C"/>
    <w:rsid w:val="00565750"/>
    <w:rsid w:val="0057434F"/>
    <w:rsid w:val="00581E46"/>
    <w:rsid w:val="005925E9"/>
    <w:rsid w:val="005D6133"/>
    <w:rsid w:val="005E3EA6"/>
    <w:rsid w:val="005E6512"/>
    <w:rsid w:val="005F3195"/>
    <w:rsid w:val="00600558"/>
    <w:rsid w:val="006017DE"/>
    <w:rsid w:val="00604D43"/>
    <w:rsid w:val="006074FE"/>
    <w:rsid w:val="00643189"/>
    <w:rsid w:val="006A56AF"/>
    <w:rsid w:val="006E45BA"/>
    <w:rsid w:val="006F016F"/>
    <w:rsid w:val="006F1E23"/>
    <w:rsid w:val="006F5F62"/>
    <w:rsid w:val="00742EBD"/>
    <w:rsid w:val="00754225"/>
    <w:rsid w:val="00762C98"/>
    <w:rsid w:val="0076420C"/>
    <w:rsid w:val="007761E0"/>
    <w:rsid w:val="00777C11"/>
    <w:rsid w:val="00797565"/>
    <w:rsid w:val="007B48BF"/>
    <w:rsid w:val="007D6221"/>
    <w:rsid w:val="007E05AD"/>
    <w:rsid w:val="00860FAE"/>
    <w:rsid w:val="0086453F"/>
    <w:rsid w:val="00875DD9"/>
    <w:rsid w:val="0087664B"/>
    <w:rsid w:val="00896F97"/>
    <w:rsid w:val="008A2379"/>
    <w:rsid w:val="008C676F"/>
    <w:rsid w:val="008C6BBF"/>
    <w:rsid w:val="008E51BE"/>
    <w:rsid w:val="008F17FE"/>
    <w:rsid w:val="008F2F51"/>
    <w:rsid w:val="009072E6"/>
    <w:rsid w:val="00935CAF"/>
    <w:rsid w:val="00960EAA"/>
    <w:rsid w:val="00982B3F"/>
    <w:rsid w:val="00983405"/>
    <w:rsid w:val="0098762A"/>
    <w:rsid w:val="009A0515"/>
    <w:rsid w:val="009C2972"/>
    <w:rsid w:val="009F1389"/>
    <w:rsid w:val="00A04CD2"/>
    <w:rsid w:val="00A05661"/>
    <w:rsid w:val="00A10796"/>
    <w:rsid w:val="00A145DF"/>
    <w:rsid w:val="00A43E6A"/>
    <w:rsid w:val="00A56C7F"/>
    <w:rsid w:val="00A603A4"/>
    <w:rsid w:val="00A648FA"/>
    <w:rsid w:val="00A83BAE"/>
    <w:rsid w:val="00AA27D6"/>
    <w:rsid w:val="00AC0D6E"/>
    <w:rsid w:val="00AD4613"/>
    <w:rsid w:val="00B0577C"/>
    <w:rsid w:val="00B264CB"/>
    <w:rsid w:val="00B27713"/>
    <w:rsid w:val="00B418D6"/>
    <w:rsid w:val="00B4650B"/>
    <w:rsid w:val="00B63A6D"/>
    <w:rsid w:val="00B766BF"/>
    <w:rsid w:val="00BA0C83"/>
    <w:rsid w:val="00BD598D"/>
    <w:rsid w:val="00C55A3B"/>
    <w:rsid w:val="00C670EF"/>
    <w:rsid w:val="00C81E4E"/>
    <w:rsid w:val="00CB2A70"/>
    <w:rsid w:val="00CC283C"/>
    <w:rsid w:val="00CF0986"/>
    <w:rsid w:val="00D5572F"/>
    <w:rsid w:val="00D704C4"/>
    <w:rsid w:val="00D84CF6"/>
    <w:rsid w:val="00D85C31"/>
    <w:rsid w:val="00D91A26"/>
    <w:rsid w:val="00D978CB"/>
    <w:rsid w:val="00DB2DD9"/>
    <w:rsid w:val="00DB4839"/>
    <w:rsid w:val="00DD2FEE"/>
    <w:rsid w:val="00DE2CE8"/>
    <w:rsid w:val="00DE57C5"/>
    <w:rsid w:val="00DF7B9D"/>
    <w:rsid w:val="00E11012"/>
    <w:rsid w:val="00E249BA"/>
    <w:rsid w:val="00E24D26"/>
    <w:rsid w:val="00E45861"/>
    <w:rsid w:val="00E6625C"/>
    <w:rsid w:val="00E90ACC"/>
    <w:rsid w:val="00EA015F"/>
    <w:rsid w:val="00EA6767"/>
    <w:rsid w:val="00EC060E"/>
    <w:rsid w:val="00EE1F89"/>
    <w:rsid w:val="00F065DA"/>
    <w:rsid w:val="00F347B9"/>
    <w:rsid w:val="00F372F8"/>
    <w:rsid w:val="00F376CF"/>
    <w:rsid w:val="00F41AC0"/>
    <w:rsid w:val="00F44795"/>
    <w:rsid w:val="00F52AD8"/>
    <w:rsid w:val="00F70FE7"/>
    <w:rsid w:val="00F76D6B"/>
    <w:rsid w:val="00F83849"/>
    <w:rsid w:val="00FD283B"/>
    <w:rsid w:val="145F515E"/>
    <w:rsid w:val="1A229AAA"/>
    <w:rsid w:val="659EB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1E805"/>
  <w15:chartTrackingRefBased/>
  <w15:docId w15:val="{DA86A78A-9B77-4053-8D76-F3ECF782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4D43"/>
    <w:pPr>
      <w:keepNext/>
      <w:keepLines/>
      <w:outlineLvl w:val="0"/>
    </w:pPr>
    <w:rPr>
      <w:rFonts w:asciiTheme="majorHAnsi" w:eastAsiaTheme="majorEastAsia" w:hAnsiTheme="majorHAnsi" w:cs="Times New Roman (Headings CS)"/>
      <w:b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D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">
    <w:name w:val="N1"/>
    <w:basedOn w:val="Normal"/>
    <w:qFormat/>
    <w:rsid w:val="00A603A4"/>
    <w:pPr>
      <w:spacing w:after="120"/>
    </w:pPr>
    <w:rPr>
      <w:rFonts w:ascii="Helvetica Neue" w:eastAsia="Times New Roman" w:hAnsi="Helvetica Neue" w:cs="Times New Roman"/>
      <w:sz w:val="26"/>
    </w:rPr>
  </w:style>
  <w:style w:type="paragraph" w:styleId="ListParagraph">
    <w:name w:val="List Paragraph"/>
    <w:basedOn w:val="Normal"/>
    <w:uiPriority w:val="34"/>
    <w:qFormat/>
    <w:rsid w:val="00A145DF"/>
    <w:pPr>
      <w:ind w:left="720"/>
      <w:contextualSpacing/>
    </w:pPr>
  </w:style>
  <w:style w:type="table" w:styleId="TableGrid">
    <w:name w:val="Table Grid"/>
    <w:basedOn w:val="TableNormal"/>
    <w:uiPriority w:val="39"/>
    <w:rsid w:val="008E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45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53F"/>
  </w:style>
  <w:style w:type="paragraph" w:styleId="Footer">
    <w:name w:val="footer"/>
    <w:basedOn w:val="Normal"/>
    <w:link w:val="FooterChar"/>
    <w:uiPriority w:val="99"/>
    <w:unhideWhenUsed/>
    <w:rsid w:val="008645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53F"/>
  </w:style>
  <w:style w:type="character" w:styleId="PageNumber">
    <w:name w:val="page number"/>
    <w:basedOn w:val="DefaultParagraphFont"/>
    <w:uiPriority w:val="99"/>
    <w:semiHidden/>
    <w:unhideWhenUsed/>
    <w:rsid w:val="0086453F"/>
  </w:style>
  <w:style w:type="character" w:customStyle="1" w:styleId="Heading2Char">
    <w:name w:val="Heading 2 Char"/>
    <w:basedOn w:val="DefaultParagraphFont"/>
    <w:link w:val="Heading2"/>
    <w:uiPriority w:val="9"/>
    <w:rsid w:val="00524D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24D43"/>
    <w:rPr>
      <w:rFonts w:asciiTheme="majorHAnsi" w:eastAsiaTheme="majorEastAsia" w:hAnsiTheme="majorHAnsi" w:cs="Times New Roman (Headings CS)"/>
      <w:b/>
      <w:caps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Townson</dc:creator>
  <cp:keywords/>
  <dc:description/>
  <cp:lastModifiedBy>Hayley Steel</cp:lastModifiedBy>
  <cp:revision>3</cp:revision>
  <cp:lastPrinted>2023-06-14T17:44:00Z</cp:lastPrinted>
  <dcterms:created xsi:type="dcterms:W3CDTF">2023-06-29T13:32:00Z</dcterms:created>
  <dcterms:modified xsi:type="dcterms:W3CDTF">2023-06-29T13:33:00Z</dcterms:modified>
</cp:coreProperties>
</file>